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B775F" w14:textId="58B1F3CD" w:rsidR="002C0DE0" w:rsidRDefault="002C0DE0" w:rsidP="005122B1">
      <w:pPr>
        <w:pStyle w:val="Nadpis3"/>
        <w:tabs>
          <w:tab w:val="clear" w:pos="0"/>
        </w:tabs>
        <w:ind w:left="-142" w:firstLine="0"/>
        <w:rPr>
          <w:rFonts w:asciiTheme="minorHAnsi" w:hAnsiTheme="minorHAnsi" w:cstheme="minorHAnsi"/>
          <w:szCs w:val="22"/>
        </w:rPr>
      </w:pPr>
    </w:p>
    <w:tbl>
      <w:tblPr>
        <w:tblStyle w:val="Mriekatabuky"/>
        <w:tblW w:w="963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31"/>
        <w:gridCol w:w="2077"/>
        <w:gridCol w:w="2182"/>
        <w:gridCol w:w="1018"/>
        <w:gridCol w:w="3229"/>
      </w:tblGrid>
      <w:tr w:rsidR="002C0DE0" w:rsidRPr="00C57852" w14:paraId="2EDAC86C" w14:textId="77777777" w:rsidTr="005122B1">
        <w:trPr>
          <w:jc w:val="center"/>
        </w:trPr>
        <w:tc>
          <w:tcPr>
            <w:tcW w:w="1131" w:type="dxa"/>
            <w:shd w:val="clear" w:color="auto" w:fill="DEEAF6" w:themeFill="accent1" w:themeFillTint="33"/>
            <w:vAlign w:val="center"/>
          </w:tcPr>
          <w:p w14:paraId="0C4F4DAF" w14:textId="77777777" w:rsidR="002C0DE0" w:rsidRPr="0072495D" w:rsidRDefault="002C0DE0" w:rsidP="005A52C5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  <w:r w:rsidRPr="0072495D"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Číslo riadka</w:t>
            </w:r>
          </w:p>
        </w:tc>
        <w:tc>
          <w:tcPr>
            <w:tcW w:w="2077" w:type="dxa"/>
            <w:shd w:val="clear" w:color="auto" w:fill="DEEAF6" w:themeFill="accent1" w:themeFillTint="33"/>
            <w:vAlign w:val="center"/>
          </w:tcPr>
          <w:p w14:paraId="5963E1B4" w14:textId="77777777" w:rsidR="002C0DE0" w:rsidRPr="0072495D" w:rsidRDefault="002C0DE0" w:rsidP="005A52C5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  <w:r w:rsidRPr="0072495D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>Oblasť</w:t>
            </w:r>
          </w:p>
        </w:tc>
        <w:tc>
          <w:tcPr>
            <w:tcW w:w="6429" w:type="dxa"/>
            <w:gridSpan w:val="3"/>
            <w:shd w:val="clear" w:color="auto" w:fill="DEEAF6" w:themeFill="accent1" w:themeFillTint="33"/>
            <w:vAlign w:val="center"/>
          </w:tcPr>
          <w:p w14:paraId="67D699E5" w14:textId="30BE4041" w:rsidR="002C0DE0" w:rsidRPr="0072495D" w:rsidRDefault="002C0DE0" w:rsidP="001B3ECF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  <w:r w:rsidRPr="0072495D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 xml:space="preserve">Metadáta </w:t>
            </w:r>
            <w:r w:rsidR="001B3ECF" w:rsidRPr="0072495D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>merateľného ukazovateľa projektu</w:t>
            </w:r>
            <w:r w:rsidR="00191716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 xml:space="preserve"> </w:t>
            </w:r>
          </w:p>
        </w:tc>
      </w:tr>
      <w:tr w:rsidR="001B3ECF" w:rsidRPr="00C57852" w14:paraId="0F8C868F" w14:textId="77777777" w:rsidTr="005122B1">
        <w:trPr>
          <w:jc w:val="center"/>
        </w:trPr>
        <w:tc>
          <w:tcPr>
            <w:tcW w:w="1131" w:type="dxa"/>
            <w:vAlign w:val="center"/>
          </w:tcPr>
          <w:p w14:paraId="1A47B619" w14:textId="0DB3B896" w:rsidR="001B3ECF" w:rsidRPr="00511C24" w:rsidRDefault="001B3ECF" w:rsidP="001B3ECF">
            <w:pPr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511C24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2077" w:type="dxa"/>
            <w:shd w:val="clear" w:color="auto" w:fill="FFFFFF" w:themeFill="background1"/>
            <w:vAlign w:val="center"/>
          </w:tcPr>
          <w:p w14:paraId="4C218EE9" w14:textId="29A1AAF8" w:rsidR="001B3ECF" w:rsidRPr="0072495D" w:rsidRDefault="001B3ECF" w:rsidP="005F627D">
            <w:pPr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r w:rsidRPr="0072495D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 xml:space="preserve">Kód ukazovateľa  </w:t>
            </w:r>
            <w:r w:rsidR="00201D39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>ITMS21+</w:t>
            </w:r>
            <w:r w:rsidR="005F627D" w:rsidRPr="0072495D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 xml:space="preserve"> </w:t>
            </w:r>
          </w:p>
        </w:tc>
        <w:tc>
          <w:tcPr>
            <w:tcW w:w="6429" w:type="dxa"/>
            <w:gridSpan w:val="3"/>
            <w:vAlign w:val="center"/>
          </w:tcPr>
          <w:p w14:paraId="3E745277" w14:textId="77777777" w:rsidR="001B3ECF" w:rsidRPr="00C57852" w:rsidRDefault="001B3ECF" w:rsidP="001B3ECF">
            <w:pPr>
              <w:pStyle w:val="Zkladntext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</w:p>
        </w:tc>
      </w:tr>
      <w:tr w:rsidR="002C0DE0" w:rsidRPr="00C57852" w14:paraId="59AC7672" w14:textId="77777777" w:rsidTr="005122B1">
        <w:trPr>
          <w:jc w:val="center"/>
        </w:trPr>
        <w:tc>
          <w:tcPr>
            <w:tcW w:w="1131" w:type="dxa"/>
            <w:vAlign w:val="center"/>
          </w:tcPr>
          <w:p w14:paraId="7D5FC272" w14:textId="77777777" w:rsidR="002C0DE0" w:rsidRPr="002C0DE0" w:rsidRDefault="002C0DE0" w:rsidP="005A52C5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2C0DE0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2077" w:type="dxa"/>
            <w:shd w:val="clear" w:color="auto" w:fill="FFFFFF" w:themeFill="background1"/>
            <w:vAlign w:val="center"/>
          </w:tcPr>
          <w:p w14:paraId="5DB37BFC" w14:textId="50CDFD53" w:rsidR="002C0DE0" w:rsidRPr="0072495D" w:rsidRDefault="001B3ECF" w:rsidP="005A52C5">
            <w:pPr>
              <w:pStyle w:val="Zkladntext"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  <w:r w:rsidRPr="0072495D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 xml:space="preserve">Názov ukazovateľa </w:t>
            </w:r>
          </w:p>
        </w:tc>
        <w:tc>
          <w:tcPr>
            <w:tcW w:w="6429" w:type="dxa"/>
            <w:gridSpan w:val="3"/>
            <w:vAlign w:val="center"/>
          </w:tcPr>
          <w:p w14:paraId="49A85407" w14:textId="77777777" w:rsidR="002C0DE0" w:rsidRPr="00C57852" w:rsidRDefault="002C0DE0" w:rsidP="005A52C5">
            <w:pPr>
              <w:widowControl/>
              <w:autoSpaceDE/>
              <w:autoSpaceDN/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</w:pPr>
          </w:p>
        </w:tc>
      </w:tr>
      <w:tr w:rsidR="002C0DE0" w:rsidRPr="00C57852" w14:paraId="0D4C091E" w14:textId="77777777" w:rsidTr="005122B1">
        <w:trPr>
          <w:jc w:val="center"/>
        </w:trPr>
        <w:tc>
          <w:tcPr>
            <w:tcW w:w="1131" w:type="dxa"/>
            <w:vAlign w:val="center"/>
          </w:tcPr>
          <w:p w14:paraId="4848CE74" w14:textId="77777777" w:rsidR="002C0DE0" w:rsidRPr="00C57852" w:rsidRDefault="002C0DE0" w:rsidP="002C0DE0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C57852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2077" w:type="dxa"/>
            <w:shd w:val="clear" w:color="auto" w:fill="FFFFFF" w:themeFill="background1"/>
            <w:vAlign w:val="center"/>
          </w:tcPr>
          <w:p w14:paraId="2C250638" w14:textId="77777777" w:rsidR="002C0DE0" w:rsidRPr="0072495D" w:rsidRDefault="002C0DE0" w:rsidP="005A52C5">
            <w:pPr>
              <w:pStyle w:val="Zkladntext"/>
              <w:rPr>
                <w:rFonts w:cstheme="minorHAnsi"/>
                <w:spacing w:val="-11"/>
                <w:szCs w:val="20"/>
              </w:rPr>
            </w:pPr>
            <w:r w:rsidRPr="0072495D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Merná jednotka</w:t>
            </w:r>
          </w:p>
        </w:tc>
        <w:tc>
          <w:tcPr>
            <w:tcW w:w="6429" w:type="dxa"/>
            <w:gridSpan w:val="3"/>
            <w:vAlign w:val="center"/>
          </w:tcPr>
          <w:p w14:paraId="236C5029" w14:textId="77777777" w:rsidR="002C0DE0" w:rsidRPr="002C0DE0" w:rsidRDefault="00F65C8A" w:rsidP="005A52C5">
            <w:pPr>
              <w:pStyle w:val="Zkladntext"/>
              <w:rPr>
                <w:rStyle w:val="tl2"/>
                <w:rFonts w:asciiTheme="minorHAnsi" w:hAnsiTheme="minorHAnsi"/>
              </w:rPr>
            </w:pPr>
            <w:sdt>
              <w:sdtPr>
                <w:rPr>
                  <w:rStyle w:val="tl2"/>
                  <w:rFonts w:asciiTheme="minorHAnsi" w:hAnsiTheme="minorHAnsi"/>
                </w:rPr>
                <w:id w:val="99840671"/>
                <w:placeholder>
                  <w:docPart w:val="A8F654F56A1D42E4A89572F2B1747264"/>
                </w:placeholder>
                <w:showingPlcHdr/>
                <w:comboBox>
                  <w:listItem w:displayText="%" w:value="%"/>
                  <w:listItem w:displayText="balenie" w:value="balenie"/>
                  <w:listItem w:displayText="body na doplnenie paliva" w:value="body na doplnenie paliva"/>
                  <w:listItem w:displayText="bytová jednotka" w:value="bytová jednotka"/>
                  <w:listItem w:displayText="centrá" w:value="centrá"/>
                  <w:listItem w:displayText="cestujúci" w:value="cestujúci"/>
                  <w:listItem w:displayText="človekodeň" w:value="človekodeň"/>
                  <w:listItem w:displayText="človekodeň/rok" w:value="človekodeň/rok"/>
                  <w:listItem w:displayText="dávka" w:value="dávka"/>
                  <w:listItem w:displayText="debarierizačný prvok" w:value="debarierizačný prvok"/>
                  <w:listItem w:displayText="deň" w:value="deň"/>
                  <w:listItem w:displayText="dieťa" w:value="dieťa"/>
                  <w:listItem w:displayText="dokument" w:value="dokument"/>
                  <w:listItem w:displayText="domácnosti" w:value="domácnosti"/>
                  <w:listItem w:displayText="ekvivalent plných pracovných úväzkov" w:value="ekvivalent plných pracovných úväzkov"/>
                  <w:listItem w:displayText="EO" w:value="EO"/>
                  <w:listItem w:displayText="EUR" w:value="EUR"/>
                  <w:listItem w:displayText="EUR / človekodeň" w:value="EUR / človekodeň"/>
                  <w:listItem w:displayText="EUR / h" w:value="EUR / h"/>
                  <w:listItem w:displayText="EUR / mesiac / človek" w:value="EUR / mesiac / človek"/>
                  <w:listItem w:displayText="EUR / mesiac / zariadenie" w:value="EUR / mesiac / zariadenie"/>
                  <w:listItem w:displayText="FTE" w:value="FTE"/>
                  <w:listItem w:displayText="h" w:value="h"/>
                  <w:listItem w:displayText="ha (hektáre)" w:value="ha (hektáre)"/>
                  <w:listItem w:displayText="hodina" w:value="hodina"/>
                  <w:listItem w:displayText="index" w:value="index"/>
                  <w:listItem w:displayText="intermodálne spojenia" w:value="intermodálne spojenia"/>
                  <w:listItem w:displayText="kg" w:value="kg"/>
                  <w:listItem w:displayText="kg / rok" w:value="kg / rok"/>
                  <w:listItem w:displayText="km" w:value="km"/>
                  <w:listItem w:displayText="km2" w:value="km2"/>
                  <w:listItem w:displayText="komplet" w:value="komplet"/>
                  <w:listItem w:displayText="komponenty systému" w:value="komponenty systému"/>
                  <w:listItem w:displayText="komunitné centrum" w:value="komunitné centrum"/>
                  <w:listItem w:displayText="koncoví používatelia / rok" w:value="koncoví používatelia / rok"/>
                  <w:listItem w:displayText="krajská hodnotiaca správa" w:value="krajská hodnotiaca správa"/>
                  <w:listItem w:displayText="ks" w:value="ks"/>
                  <w:listItem w:displayText="kultúrne a turistické lokality" w:value="kultúrne a turistické lokality"/>
                  <w:listItem w:displayText="kWh / (m2 . rok)" w:value="kWh / (m2 . rok)"/>
                  <w:listItem w:displayText="kWh / miestokm" w:value="kWh / miestokm"/>
                  <w:listItem w:displayText="kWh / rok" w:value="kWh / rok"/>
                  <w:listItem w:displayText="l /s" w:value="l /s"/>
                  <w:listItem w:displayText="m" w:value="m"/>
                  <w:listItem w:displayText="m2" w:value="m2"/>
                  <w:listItem w:displayText="m3" w:value="m3"/>
                  <w:listItem w:displayText="materská škola" w:value="materská škola"/>
                  <w:listItem w:displayText="mesačné FTE" w:value="mesačné FTE"/>
                  <w:listItem w:displayText="mesiac" w:value="mesiac"/>
                  <w:listItem w:displayText="mestá a obce" w:value="mestá a obce"/>
                  <w:listItem w:displayText="metodický balíček" w:value="metodický balíček"/>
                  <w:listItem w:displayText="metre kubické ročne" w:value="metre kubické ročne"/>
                  <w:listItem w:displayText="miesto v sociálnych službách" w:value="miesto v sociálnych službách"/>
                  <w:listItem w:displayText="miesto v zariadení starostlivosti o deti do troch rokov veku" w:value="miesto v zariadení starostlivosti o deti do troch rokov veku"/>
                  <w:listItem w:displayText="miesto vo výkone opatrení sociálnoprávnej ochrany detí a sociálnej kurately" w:value="miesto vo výkone opatrení sociálnoprávnej ochrany detí a sociálnej kurately"/>
                  <w:listItem w:displayText="min" w:value="min"/>
                  <w:listItem w:displayText="MW" w:value="MW"/>
                  <w:listItem w:displayText="MWe" w:value="MWe"/>
                  <w:listItem w:displayText="MWh" w:value="MWh"/>
                  <w:listItem w:displayText="MWh / mil. EUR" w:value="MWh / mil. EUR"/>
                  <w:listItem w:displayText="MWh / rok" w:value="MWh / rok"/>
                  <w:listItem w:displayText="MWt" w:value="MWt"/>
                  <w:listItem w:displayText="návštevníci / rok" w:value="návštevníci / rok"/>
                  <w:listItem w:displayText="obec" w:value="obec"/>
                  <w:listItem w:displayText="obydlie" w:value="obydlie"/>
                  <w:listItem w:displayText="obyvateľ" w:value="obyvateľ"/>
                  <w:listItem w:displayText="ochranné prostriedky" w:value="ochranné prostriedky"/>
                  <w:listItem w:displayText="organizácie" w:value="organizácie"/>
                  <w:listItem w:displayText="osobohodina" w:value="osobohodina"/>
                  <w:listItem w:displayText="osobokilometre / rok" w:value="osobokilometre / rok"/>
                  <w:listItem w:displayText="osoby" w:value="osoby"/>
                  <w:listItem w:displayText="osoby / rok" w:value="osoby / rok"/>
                  <w:listItem w:displayText="patentové prihlášky" w:value="patentové prihlášky"/>
                  <w:listItem w:displayText="pilotné akcie" w:value="pilotné akcie"/>
                  <w:listItem w:displayText="plniace / nabíjacie stanice" w:value="plniace / nabíjacie stanice"/>
                  <w:listItem w:displayText="počet" w:value="počet"/>
                  <w:listItem w:displayText="počet návštev / rok" w:value="počet návštev / rok"/>
                  <w:listItem w:displayText="počet používateľov" w:value="počet používateľov"/>
                  <w:listItem w:displayText="počet študentov" w:value="počet študentov"/>
                  <w:listItem w:displayText="podnet" w:value="podnet"/>
                  <w:listItem w:displayText="podniky" w:value="podniky"/>
                  <w:listItem w:displayText="podujatia" w:value="podujatia"/>
                  <w:listItem w:displayText="pomer" w:value="pomer"/>
                  <w:listItem w:displayText="používatelia / rok" w:value="používatelia / rok"/>
                  <w:listItem w:displayText="pracovné miesto" w:value="pracovné miesto"/>
                  <w:listItem w:displayText="právne alebo administratívne prekážky" w:value="právne alebo administratívne prekážky"/>
                  <w:listItem w:displayText="prihlášky ochranných známok a dizajnov" w:value="prihlášky ochranných známok a dizajnov"/>
                  <w:listItem w:displayText="príspevky k stratégiám" w:value="príspevky k stratégiám"/>
                  <w:listItem w:displayText="program" w:value="program"/>
                  <w:listItem w:displayText="projekt" w:value="projekt"/>
                  <w:listItem w:displayText="promile" w:value="promile"/>
                  <w:listItem w:displayText="publikácie" w:value="publikácie"/>
                  <w:listItem w:displayText="riešenia" w:value="riešenia"/>
                  <w:listItem w:displayText="ročné FTE" w:value="ročné FTE"/>
                  <w:listItem w:displayText="set" w:value="set"/>
                  <w:listItem w:displayText="sociálne zariadenie" w:value="sociálne zariadenie"/>
                  <w:listItem w:displayText="spoločná stratégia / akčný plán" w:value="spoločná stratégia / akčný plán"/>
                  <w:listItem w:displayText="stratégia / akčný plán" w:value="stratégia / akčný plán"/>
                  <w:listItem w:displayText="stratégie" w:value="stratégie"/>
                  <w:listItem w:displayText="stupeň uistenia" w:value="stupeň uistenia"/>
                  <w:listItem w:displayText="subjekt" w:value="subjekt"/>
                  <w:listItem w:displayText="t ekviv. CO2" w:value="t ekviv. CO2"/>
                  <w:listItem w:displayText="t / rok" w:value="t / rok"/>
                  <w:listItem w:displayText="testy" w:value="testy"/>
                  <w:listItem w:displayText="tis. EUR" w:value="tis. EUR"/>
                  <w:listItem w:displayText="tis. ks" w:value="tis. ks"/>
                  <w:listItem w:displayText="tis. osôb" w:value="tis. osôb"/>
                  <w:listItem w:displayText="tis. ton" w:value="tis. ton"/>
                  <w:listItem w:displayText="tona" w:value="tona"/>
                  <w:listItem w:displayText="tonokilometre / rok" w:value="tonokilometre / rok"/>
                  <w:listItem w:displayText="tony CO2 eq" w:value="tony CO2 eq"/>
                  <w:listItem w:displayText="tony CO2 eq/rok" w:value="tony CO2 eq/rok"/>
                  <w:listItem w:displayText="účasť" w:value="účasť"/>
                  <w:listItem w:displayText="účasti zainteresovaných strán" w:value="účasti zainteresovaných strán"/>
                  <w:listItem w:displayText="účastníci" w:value="účastníci"/>
                  <w:listItem w:displayText="verejné inštitúcie" w:value="verejné inštitúcie"/>
                  <w:listItem w:displayText="vlkm" w:value="vlkm"/>
                  <w:listItem w:displayText="vozidlo" w:value="vozidlo"/>
                  <w:listItem w:displayText="všeobecný odborný pracovník" w:value="všeobecný odborný pracovník"/>
                  <w:listItem w:displayText="výskumné organizácie" w:value="výskumné organizácie"/>
                  <w:listItem w:displayText="zóny kvality ovzdušia" w:value="zóny kvality ovzdušia"/>
                  <w:listItem w:displayText="žiak" w:value="žiak"/>
                </w:comboBox>
              </w:sdtPr>
              <w:sdtEndPr>
                <w:rPr>
                  <w:rStyle w:val="tl2"/>
                </w:rPr>
              </w:sdtEndPr>
              <w:sdtContent>
                <w:r w:rsidR="002C0DE0" w:rsidRPr="002C0DE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1B3ECF" w:rsidRPr="00C57852" w14:paraId="79BAE181" w14:textId="77777777" w:rsidTr="005122B1">
        <w:trPr>
          <w:jc w:val="center"/>
        </w:trPr>
        <w:tc>
          <w:tcPr>
            <w:tcW w:w="1131" w:type="dxa"/>
            <w:vAlign w:val="center"/>
          </w:tcPr>
          <w:p w14:paraId="39067DAB" w14:textId="77777777" w:rsidR="001B3ECF" w:rsidRPr="00C57852" w:rsidRDefault="001B3ECF" w:rsidP="001B3ECF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2077" w:type="dxa"/>
            <w:shd w:val="clear" w:color="auto" w:fill="FFFFFF" w:themeFill="background1"/>
            <w:vAlign w:val="center"/>
          </w:tcPr>
          <w:p w14:paraId="490FE4AF" w14:textId="77777777" w:rsidR="001B3ECF" w:rsidRPr="0072495D" w:rsidRDefault="001B3ECF" w:rsidP="001B3ECF">
            <w:pP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72495D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Typ ukazovateľa</w:t>
            </w:r>
          </w:p>
        </w:tc>
        <w:sdt>
          <w:sdtPr>
            <w:rPr>
              <w:rStyle w:val="tl2"/>
              <w:rFonts w:asciiTheme="minorHAnsi" w:hAnsiTheme="minorHAnsi"/>
            </w:rPr>
            <w:id w:val="340437093"/>
            <w:placeholder>
              <w:docPart w:val="FA7DDA53D7F043378B95104616C3D5D2"/>
            </w:placeholder>
            <w:showingPlcHdr/>
            <w:comboBox>
              <w:listItem w:displayText="výstup" w:value="výstup"/>
              <w:listItem w:displayText="výsledok" w:value="výsledok"/>
            </w:comboBox>
          </w:sdtPr>
          <w:sdtEndPr>
            <w:rPr>
              <w:rStyle w:val="tl2"/>
            </w:rPr>
          </w:sdtEndPr>
          <w:sdtContent>
            <w:tc>
              <w:tcPr>
                <w:tcW w:w="6429" w:type="dxa"/>
                <w:gridSpan w:val="3"/>
                <w:vAlign w:val="center"/>
              </w:tcPr>
              <w:p w14:paraId="01C4E612" w14:textId="77777777" w:rsidR="001B3ECF" w:rsidRPr="001B3ECF" w:rsidRDefault="001B3ECF" w:rsidP="001B3ECF">
                <w:pPr>
                  <w:pStyle w:val="Zkladntext"/>
                  <w:tabs>
                    <w:tab w:val="center" w:pos="3160"/>
                  </w:tabs>
                  <w:rPr>
                    <w:rStyle w:val="tl2"/>
                    <w:rFonts w:asciiTheme="minorHAnsi" w:hAnsiTheme="minorHAnsi"/>
                  </w:rPr>
                </w:pPr>
                <w:r w:rsidRPr="001B3ECF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p>
            </w:tc>
          </w:sdtContent>
        </w:sdt>
      </w:tr>
      <w:tr w:rsidR="007F1880" w:rsidRPr="00C57852" w14:paraId="00B32614" w14:textId="77777777" w:rsidTr="00573B4C">
        <w:trPr>
          <w:trHeight w:val="184"/>
          <w:jc w:val="center"/>
        </w:trPr>
        <w:tc>
          <w:tcPr>
            <w:tcW w:w="1131" w:type="dxa"/>
            <w:vMerge w:val="restart"/>
            <w:vAlign w:val="center"/>
          </w:tcPr>
          <w:p w14:paraId="53346D11" w14:textId="097C4461" w:rsidR="007F1880" w:rsidRPr="00C57852" w:rsidRDefault="00BB22EF" w:rsidP="007F1880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5</w:t>
            </w:r>
          </w:p>
        </w:tc>
        <w:tc>
          <w:tcPr>
            <w:tcW w:w="2077" w:type="dxa"/>
            <w:vMerge w:val="restart"/>
            <w:shd w:val="clear" w:color="auto" w:fill="FFFFFF" w:themeFill="background1"/>
            <w:vAlign w:val="center"/>
          </w:tcPr>
          <w:p w14:paraId="1D48FCEB" w14:textId="77777777" w:rsidR="007F1880" w:rsidRPr="0072495D" w:rsidRDefault="007F1880" w:rsidP="007F1880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72495D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Cieľ politiky / FST / TP</w:t>
            </w:r>
          </w:p>
        </w:tc>
        <w:tc>
          <w:tcPr>
            <w:tcW w:w="6429" w:type="dxa"/>
            <w:gridSpan w:val="3"/>
            <w:vAlign w:val="center"/>
          </w:tcPr>
          <w:p w14:paraId="141B91C0" w14:textId="1FBEDC8C" w:rsidR="007F1880" w:rsidRPr="00211418" w:rsidRDefault="00F65C8A" w:rsidP="00984B86">
            <w:pPr>
              <w:pStyle w:val="Zkladntext"/>
              <w:tabs>
                <w:tab w:val="center" w:pos="3160"/>
              </w:tabs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-1452782315"/>
                <w:placeholder>
                  <w:docPart w:val="54E913A5B6B5479C99BC6A221725C2C9"/>
                </w:placeholder>
                <w:comboBox>
                  <w:listItem w:displayText="CP 1 Konkurencieschopnejšia a inteligentnejšia Európa vďaka presadzovaniu inovatívnej a inteligentnej transformácie hospodárstva a regionálnej prepojenosti IKT" w:value="CP 1 Konkurencieschopnejšia a inteligentnejšia Európa vďaka presadzovaniu inovatívnej a inteligentnej transformácie hospodárstva a regionálnej prepojenosti IKT"/>
                  <w:listItem w:displayText="CP 2 Ekologickejšia, nízkouhlíková s prechodom na hospodárstvo s nulovými čistými emisiami uhlíka a odolná Európa vďaka presadzovaniu čistej a spravodlivej energetickej transformácie, zelených a modrých investícií, obehového hospodárstva, zmierňovania zmen" w:value="CP 2 Ekologickejšia, nízkouhlíková s prechodom na hospodárstvo s nulovými čistými emisiami uhlíka a odolná Európa vďaka presadzovaniu čistej a spravodlivej energetickej transformácie, zelených a modrých investícií, obehového hospodárstva, zmierňovania zmen"/>
                  <w:listItem w:displayText="CP 3 Prepojenejšia Európa vďaka posilneniu mobility" w:value="CP 3 Prepojenejšia Európa vďaka posilneniu mobility"/>
                  <w:listItem w:displayText="CP 4 Sociálnejšia a inkluzívnejšia Európa implementujúca Európsky pilier sociálnych práv" w:value="CP 4 Sociálnejšia a inkluzívnejšia Európa implementujúca Európsky pilier sociálnych práv"/>
                  <w:listItem w:displayText="CP 5 Európa bližšie k občanom vďaka podpore udržateľného a integrovaného rozvoja všetkých typov území a miestnych iniciatív" w:value="CP 5 Európa bližšie k občanom vďaka podpore udržateľného a integrovaného rozvoja všetkých typov území a miestnych iniciatív"/>
                  <w:listItem w:displayText="FST Fond na spravodlivú transformáciu" w:value="FST Fond na spravodlivú transformáciu"/>
                  <w:listItem w:displayText="TP Technická pomoc" w:value="TP Technická pomoc"/>
                </w:comboBox>
              </w:sdtPr>
              <w:sdtEndPr>
                <w:rPr>
                  <w:rStyle w:val="tl2"/>
                </w:rPr>
              </w:sdtEndPr>
              <w:sdtContent>
                <w:r w:rsidR="007F1880" w:rsidDel="00553188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984B86" w:rsidRPr="00C57852" w14:paraId="0FB3B758" w14:textId="77777777" w:rsidTr="005122B1">
        <w:trPr>
          <w:trHeight w:val="44"/>
          <w:jc w:val="center"/>
        </w:trPr>
        <w:tc>
          <w:tcPr>
            <w:tcW w:w="1131" w:type="dxa"/>
            <w:vMerge/>
            <w:vAlign w:val="center"/>
          </w:tcPr>
          <w:p w14:paraId="73C890FF" w14:textId="77777777" w:rsidR="00984B86" w:rsidRPr="00C57852" w:rsidRDefault="00984B86" w:rsidP="00984B86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2077" w:type="dxa"/>
            <w:vMerge/>
            <w:shd w:val="clear" w:color="auto" w:fill="FFFFFF" w:themeFill="background1"/>
            <w:vAlign w:val="center"/>
          </w:tcPr>
          <w:p w14:paraId="706F8EA1" w14:textId="77777777" w:rsidR="00984B86" w:rsidRPr="0072495D" w:rsidRDefault="00984B86" w:rsidP="00984B86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</w:p>
        </w:tc>
        <w:tc>
          <w:tcPr>
            <w:tcW w:w="6429" w:type="dxa"/>
            <w:gridSpan w:val="3"/>
            <w:vAlign w:val="center"/>
          </w:tcPr>
          <w:p w14:paraId="02BFB5F2" w14:textId="0904649A" w:rsidR="00984B86" w:rsidRPr="00211418" w:rsidRDefault="00F65C8A" w:rsidP="00984B86">
            <w:pPr>
              <w:pStyle w:val="Zkladntext"/>
              <w:tabs>
                <w:tab w:val="center" w:pos="3160"/>
              </w:tabs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-1262755702"/>
                <w:placeholder>
                  <w:docPart w:val="8FECA562E5224FB5B01F951F52E89B0C"/>
                </w:placeholder>
                <w:comboBox>
                  <w:listItem w:displayText="CP 1 Konkurencieschopnejšia a inteligentnejšia Európa vďaka presadzovaniu inovatívnej a inteligentnej transformácie hospodárstva a regionálnej prepojenosti IKT" w:value="CP 1 Konkurencieschopnejšia a inteligentnejšia Európa vďaka presadzovaniu inovatívnej a inteligentnej transformácie hospodárstva a regionálnej prepojenosti IKT"/>
                  <w:listItem w:displayText="CP 2 Ekologickejšia, nízkouhlíková s prechodom na hospodárstvo s nulovými čistými emisiami uhlíka a odolná Európa vďaka presadzovaniu čistej a spravodlivej energetickej transformácie, zelených a modrých investícií, obehového hospodárstva, zmierňovania zmen" w:value="CP 2 Ekologickejšia, nízkouhlíková s prechodom na hospodárstvo s nulovými čistými emisiami uhlíka a odolná Európa vďaka presadzovaniu čistej a spravodlivej energetickej transformácie, zelených a modrých investícií, obehového hospodárstva, zmierňovania zmen"/>
                  <w:listItem w:displayText="CP 3 Prepojenejšia Európa vďaka posilneniu mobility" w:value="CP 3 Prepojenejšia Európa vďaka posilneniu mobility"/>
                  <w:listItem w:displayText="CP 4 Sociálnejšia a inkluzívnejšia Európa implementujúca Európsky pilier sociálnych práv" w:value="CP 4 Sociálnejšia a inkluzívnejšia Európa implementujúca Európsky pilier sociálnych práv"/>
                  <w:listItem w:displayText="CP 5 Európa bližšie k občanom vďaka podpore udržateľného a integrovaného rozvoja všetkých typov území a miestnych iniciatív" w:value="CP 5 Európa bližšie k občanom vďaka podpore udržateľného a integrovaného rozvoja všetkých typov území a miestnych iniciatív"/>
                  <w:listItem w:displayText="FST Fond na spravodlivú transformáciu" w:value="FST Fond na spravodlivú transformáciu"/>
                  <w:listItem w:displayText="TP Technická pomoc" w:value="TP Technická pomoc"/>
                </w:comboBox>
              </w:sdtPr>
              <w:sdtEndPr>
                <w:rPr>
                  <w:rStyle w:val="tl2"/>
                </w:rPr>
              </w:sdtEndPr>
              <w:sdtContent>
                <w:r w:rsidR="00984B86" w:rsidDel="00553188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984B86" w:rsidRPr="00C57852" w14:paraId="41690959" w14:textId="77777777" w:rsidTr="005122B1">
        <w:trPr>
          <w:trHeight w:val="44"/>
          <w:jc w:val="center"/>
        </w:trPr>
        <w:tc>
          <w:tcPr>
            <w:tcW w:w="1131" w:type="dxa"/>
            <w:vMerge/>
            <w:vAlign w:val="center"/>
          </w:tcPr>
          <w:p w14:paraId="7C8D67CF" w14:textId="77777777" w:rsidR="00984B86" w:rsidRPr="00C57852" w:rsidRDefault="00984B86" w:rsidP="00984B86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2077" w:type="dxa"/>
            <w:vMerge/>
            <w:shd w:val="clear" w:color="auto" w:fill="FFFFFF" w:themeFill="background1"/>
            <w:vAlign w:val="center"/>
          </w:tcPr>
          <w:p w14:paraId="57D473EC" w14:textId="77777777" w:rsidR="00984B86" w:rsidRPr="0072495D" w:rsidRDefault="00984B86" w:rsidP="00984B86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</w:p>
        </w:tc>
        <w:tc>
          <w:tcPr>
            <w:tcW w:w="6429" w:type="dxa"/>
            <w:gridSpan w:val="3"/>
            <w:vAlign w:val="center"/>
          </w:tcPr>
          <w:p w14:paraId="0C700B2A" w14:textId="06880538" w:rsidR="00984B86" w:rsidRPr="00211418" w:rsidRDefault="00F65C8A" w:rsidP="00984B86">
            <w:pPr>
              <w:pStyle w:val="Zkladntext"/>
              <w:tabs>
                <w:tab w:val="center" w:pos="3160"/>
              </w:tabs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-1418088928"/>
                <w:placeholder>
                  <w:docPart w:val="ED58816B942A4F2BBE986507BFD4CEDC"/>
                </w:placeholder>
                <w:comboBox>
                  <w:listItem w:displayText="CP 1 Konkurencieschopnejšia a inteligentnejšia Európa vďaka presadzovaniu inovatívnej a inteligentnej transformácie hospodárstva a regionálnej prepojenosti IKT" w:value="CP 1 Konkurencieschopnejšia a inteligentnejšia Európa vďaka presadzovaniu inovatívnej a inteligentnej transformácie hospodárstva a regionálnej prepojenosti IKT"/>
                  <w:listItem w:displayText="CP 2 Ekologickejšia, nízkouhlíková s prechodom na hospodárstvo s nulovými čistými emisiami uhlíka a odolná Európa vďaka presadzovaniu čistej a spravodlivej energetickej transformácie, zelených a modrých investícií, obehového hospodárstva, zmierňovania zmen" w:value="CP 2 Ekologickejšia, nízkouhlíková s prechodom na hospodárstvo s nulovými čistými emisiami uhlíka a odolná Európa vďaka presadzovaniu čistej a spravodlivej energetickej transformácie, zelených a modrých investícií, obehového hospodárstva, zmierňovania zmen"/>
                  <w:listItem w:displayText="CP 3 Prepojenejšia Európa vďaka posilneniu mobility" w:value="CP 3 Prepojenejšia Európa vďaka posilneniu mobility"/>
                  <w:listItem w:displayText="CP 4 Sociálnejšia a inkluzívnejšia Európa implementujúca Európsky pilier sociálnych práv" w:value="CP 4 Sociálnejšia a inkluzívnejšia Európa implementujúca Európsky pilier sociálnych práv"/>
                  <w:listItem w:displayText="CP 5 Európa bližšie k občanom vďaka podpore udržateľného a integrovaného rozvoja všetkých typov území a miestnych iniciatív" w:value="CP 5 Európa bližšie k občanom vďaka podpore udržateľného a integrovaného rozvoja všetkých typov území a miestnych iniciatív"/>
                  <w:listItem w:displayText="FST Fond na spravodlivú transformáciu" w:value="FST Fond na spravodlivú transformáciu"/>
                  <w:listItem w:displayText="TP Technická pomoc" w:value="TP Technická pomoc"/>
                </w:comboBox>
              </w:sdtPr>
              <w:sdtEndPr>
                <w:rPr>
                  <w:rStyle w:val="tl2"/>
                </w:rPr>
              </w:sdtEndPr>
              <w:sdtContent>
                <w:r w:rsidR="00984B86" w:rsidDel="00553188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495C51" w:rsidRPr="00C57852" w14:paraId="7E047F73" w14:textId="77777777" w:rsidTr="005122B1">
        <w:trPr>
          <w:jc w:val="center"/>
        </w:trPr>
        <w:tc>
          <w:tcPr>
            <w:tcW w:w="1131" w:type="dxa"/>
            <w:vMerge w:val="restart"/>
            <w:vAlign w:val="center"/>
          </w:tcPr>
          <w:p w14:paraId="759872EC" w14:textId="7F57EDF0" w:rsidR="00495C51" w:rsidRPr="00C57852" w:rsidRDefault="00495C51" w:rsidP="00495C51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6</w:t>
            </w:r>
          </w:p>
        </w:tc>
        <w:tc>
          <w:tcPr>
            <w:tcW w:w="2077" w:type="dxa"/>
            <w:vMerge w:val="restart"/>
            <w:shd w:val="clear" w:color="auto" w:fill="FFFFFF" w:themeFill="background1"/>
            <w:vAlign w:val="center"/>
          </w:tcPr>
          <w:p w14:paraId="747DAE88" w14:textId="77777777" w:rsidR="00495C51" w:rsidRPr="0072495D" w:rsidRDefault="00495C51" w:rsidP="00495C51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 w:rsidRPr="0072495D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Kód priority</w:t>
            </w:r>
          </w:p>
        </w:tc>
        <w:tc>
          <w:tcPr>
            <w:tcW w:w="6429" w:type="dxa"/>
            <w:gridSpan w:val="3"/>
            <w:vAlign w:val="center"/>
          </w:tcPr>
          <w:p w14:paraId="149D9FB4" w14:textId="15652282" w:rsidR="00495C51" w:rsidRPr="00C57852" w:rsidRDefault="00F65C8A" w:rsidP="00495C51">
            <w:pPr>
              <w:pStyle w:val="Zkladntext"/>
              <w:tabs>
                <w:tab w:val="center" w:pos="3160"/>
              </w:tabs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721942816"/>
                <w:placeholder>
                  <w:docPart w:val="97DD21BAFE9F40858B1EA00E1ADF9955"/>
                </w:placeholder>
                <w:showingPlcHdr/>
                <w:comboBox>
                  <w:listItem w:displayText="1P1 Veda, výskum a inovácie" w:value="1P1 Veda, výskum a inovácie"/>
                  <w:listItem w:displayText="1P2 Digitálna pripojiteľnosť" w:value="1P2 Digitálna pripojiteľnosť"/>
                  <w:listItem w:displayText="1P3 Platforma strategických technológií pre Európu (STEP)" w:value="1P3 Platforma strategických technológií pre Európu (STEP)"/>
                  <w:listItem w:displayText="1P4 Platforma strategických technológií pre Európu (STEP) - MPS" w:value="1P4 Platforma strategických technológií pre Európu (STEP) - MPS"/>
                  <w:listItem w:displayText="1P5 Podpora obranných spôsobilostí" w:value="1P5 Podpora obranných spôsobilostí"/>
                  <w:listItem w:displayText="2P1 Energetická efektívnosť a dekarbonizácia" w:value="2P1 Energetická efektívnosť a dekarbonizácia"/>
                  <w:listItem w:displayText="2P2 Životné prostredie" w:value="2P2 Životné prostredie"/>
                  <w:listItem w:displayText="2P3 Udržateľná mestská mobilita" w:value="2P3 Udržateľná mestská mobilita"/>
                  <w:listItem w:displayText="2P4 Odolné vodné hospodárstvo" w:value="2P4 Odolné vodné hospodárstvo"/>
                  <w:listItem w:displayText="2P5 Dostupné a udržateľné bývanie" w:value="2P5 Dostupné a udržateľné bývanie"/>
                  <w:listItem w:displayText="2P6 Energetická infraštruktúra" w:value="2P6 Energetická infraštruktúra"/>
                  <w:listItem w:displayText="3P1 Doprava" w:value="3P1 Doprava"/>
                  <w:listItem w:displayText="3P2 Obrana a bezpečnosť" w:value="3P2 Obrana a bezpečnosť"/>
                  <w:listItem w:displayText="4P1 Adaptabilný a prístupný trh práce" w:value="4P1 Adaptabilný a prístupný trh práce"/>
                  <w:listItem w:displayText="4P2 Kvalitné a inkluzívne vzdelávanie" w:value="4P2 Kvalitné a inkluzívne vzdelávanie"/>
                  <w:listItem w:displayText="4P3 Zručnosti pre lepšiu adaptabilitu a inklúziu" w:value="4P3 Zručnosti pre lepšiu adaptabilitu a inklúziu"/>
                  <w:listItem w:displayText="4P4 Záruka pre mladých (Zamestnanosť mladých ľudí)" w:value="4P4 Záruka pre mladých (Zamestnanosť mladých ľudí)"/>
                  <w:listItem w:displayText="4P5 Aktívne začlenenie a dostupné služby" w:value="4P5 Aktívne začlenenie a dostupné služby"/>
                  <w:listItem w:displayText="4P6 Aktívne začlenenie rómskych komunít" w:value="4P6 Aktívne začlenenie rómskych komunít"/>
                  <w:listItem w:displayText="4P7 Sociálne inovácie a experimenty (Akcie v oblasti sociálnej inovácie)" w:value="4P7 Sociálne inovácie a experimenty (Akcie v oblasti sociálnej inovácie)"/>
                  <w:listItem w:displayText="4P8 Potravinová a materiálna deprivácia" w:value="4P8 Potravinová a materiálna deprivácia"/>
                  <w:listItem w:displayText="4P9 Dostupné bývanie" w:value="4P9 Dostupné bývanie"/>
                  <w:listItem w:displayText="4P10 Zručnosti v civilnej pripravenosti" w:value="4P10 Zručnosti v civilnej pripravenosti"/>
                  <w:listItem w:displayText="5P1 Moderné regióny" w:value="5P1 Moderné regióny"/>
                  <w:listItem w:displayText="5P2 Dostupné bývanie v regiónoch" w:value="5P2 Dostupné bývanie v regiónoch"/>
                  <w:listItem w:displayText="5P3 Civilná pripravenosť v regiónoch" w:value="5P3 Civilná pripravenosť v regiónoch"/>
                  <w:listItem w:displayText="7P1 Technická pomoc EFRR" w:value="7P1 Technická pomoc EFRR"/>
                  <w:listItem w:displayText="7P2 Technická pomoc Kohézny fond" w:value="7P2 Technická pomoc Kohézny fond"/>
                  <w:listItem w:displayText="7P3 Technická pomoc ESF+" w:value="7P3 Technická pomoc ESF+"/>
                  <w:listItem w:displayText="7P4 Technická pomoc FST" w:value="7P4 Technická pomoc FST"/>
                  <w:listItem w:displayText="8P1 Fond na spravodlivú transformáciu" w:value="8P1 Fond na spravodlivú transformáciu"/>
                  <w:listItem w:displayText="8P2 Fond na spravodlivú transformáciu - MPS" w:value="8P2 Fond na spravodlivú transformáciu - MPS"/>
                </w:comboBox>
              </w:sdtPr>
              <w:sdtEndPr>
                <w:rPr>
                  <w:rStyle w:val="tl2"/>
                  <w:rFonts w:cs="Times New Roman"/>
                  <w:spacing w:val="0"/>
                  <w:szCs w:val="24"/>
                </w:rPr>
              </w:sdtEndPr>
              <w:sdtContent>
                <w:r w:rsidR="00495C51" w:rsidRPr="002C0DE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  <w:r w:rsidR="00495C51" w:rsidRPr="00C57852" w:rsidDel="00576835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 xml:space="preserve"> </w:t>
            </w:r>
          </w:p>
        </w:tc>
      </w:tr>
      <w:tr w:rsidR="00495C51" w:rsidRPr="00C57852" w14:paraId="44F1C59F" w14:textId="77777777" w:rsidTr="005122B1">
        <w:trPr>
          <w:jc w:val="center"/>
        </w:trPr>
        <w:tc>
          <w:tcPr>
            <w:tcW w:w="1131" w:type="dxa"/>
            <w:vMerge/>
            <w:vAlign w:val="center"/>
          </w:tcPr>
          <w:p w14:paraId="0D9A4E6D" w14:textId="77777777" w:rsidR="00495C51" w:rsidRDefault="00495C51" w:rsidP="00495C51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2077" w:type="dxa"/>
            <w:vMerge/>
            <w:shd w:val="clear" w:color="auto" w:fill="FFFFFF" w:themeFill="background1"/>
            <w:vAlign w:val="center"/>
          </w:tcPr>
          <w:p w14:paraId="73BF5195" w14:textId="77777777" w:rsidR="00495C51" w:rsidRPr="0072495D" w:rsidRDefault="00495C51" w:rsidP="00495C51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</w:p>
        </w:tc>
        <w:tc>
          <w:tcPr>
            <w:tcW w:w="6429" w:type="dxa"/>
            <w:gridSpan w:val="3"/>
            <w:vAlign w:val="center"/>
          </w:tcPr>
          <w:p w14:paraId="0DA9C4DB" w14:textId="41055116" w:rsidR="00495C51" w:rsidRPr="00C57852" w:rsidRDefault="00F65C8A" w:rsidP="00495C51">
            <w:pPr>
              <w:pStyle w:val="Zkladntext"/>
              <w:tabs>
                <w:tab w:val="center" w:pos="3160"/>
              </w:tabs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1527138945"/>
                <w:placeholder>
                  <w:docPart w:val="AD5DC92C94B24BD2A7ABD295DF815342"/>
                </w:placeholder>
                <w:showingPlcHdr/>
                <w:comboBox>
                  <w:listItem w:displayText="1P1 Veda, výskum a inovácie" w:value="1P1 Veda, výskum a inovácie"/>
                  <w:listItem w:displayText="1P2 Digitálna pripojiteľnosť" w:value="1P2 Digitálna pripojiteľnosť"/>
                  <w:listItem w:displayText="1P3 Platforma strategických technológií pre Európu (STEP)" w:value="1P3 Platforma strategických technológií pre Európu (STEP)"/>
                  <w:listItem w:displayText="1P4 Platforma strategických technológií pre Európu (STEP) - MPS" w:value="1P4 Platforma strategických technológií pre Európu (STEP) - MPS"/>
                  <w:listItem w:displayText="1P5 Podpora obranných spôsobilostí" w:value="1P5 Podpora obranných spôsobilostí"/>
                  <w:listItem w:displayText="2P1 Energetická efektívnosť a dekarbonizácia" w:value="2P1 Energetická efektívnosť a dekarbonizácia"/>
                  <w:listItem w:displayText="2P2 Životné prostredie" w:value="2P2 Životné prostredie"/>
                  <w:listItem w:displayText="2P3 Udržateľná mestská mobilita" w:value="2P3 Udržateľná mestská mobilita"/>
                  <w:listItem w:displayText="2P4 Odolné vodné hospodárstvo" w:value="2P4 Odolné vodné hospodárstvo"/>
                  <w:listItem w:displayText="2P5 Dostupné a udržateľné bývanie" w:value="2P5 Dostupné a udržateľné bývanie"/>
                  <w:listItem w:displayText="2P6 Energetická infraštruktúra" w:value="2P6 Energetická infraštruktúra"/>
                  <w:listItem w:displayText="3P1 Doprava" w:value="3P1 Doprava"/>
                  <w:listItem w:displayText="3P2 Obrana a bezpečnosť" w:value="3P2 Obrana a bezpečnosť"/>
                  <w:listItem w:displayText="4P1 Adaptabilný a prístupný trh práce" w:value="4P1 Adaptabilný a prístupný trh práce"/>
                  <w:listItem w:displayText="4P2 Kvalitné a inkluzívne vzdelávanie" w:value="4P2 Kvalitné a inkluzívne vzdelávanie"/>
                  <w:listItem w:displayText="4P3 Zručnosti pre lepšiu adaptabilitu a inklúziu" w:value="4P3 Zručnosti pre lepšiu adaptabilitu a inklúziu"/>
                  <w:listItem w:displayText="4P4 Záruka pre mladých (Zamestnanosť mladých ľudí)" w:value="4P4 Záruka pre mladých (Zamestnanosť mladých ľudí)"/>
                  <w:listItem w:displayText="4P5 Aktívne začlenenie a dostupné služby" w:value="4P5 Aktívne začlenenie a dostupné služby"/>
                  <w:listItem w:displayText="4P6 Aktívne začlenenie rómskych komunít" w:value="4P6 Aktívne začlenenie rómskych komunít"/>
                  <w:listItem w:displayText="4P7 Sociálne inovácie a experimenty (Akcie v oblasti sociálnej inovácie)" w:value="4P7 Sociálne inovácie a experimenty (Akcie v oblasti sociálnej inovácie)"/>
                  <w:listItem w:displayText="4P8 Potravinová a materiálna deprivácia" w:value="4P8 Potravinová a materiálna deprivácia"/>
                  <w:listItem w:displayText="4P9 Dostupné bývanie" w:value="4P9 Dostupné bývanie"/>
                  <w:listItem w:displayText="4P10 Zručnosti v civilnej pripravenosti" w:value="4P10 Zručnosti v civilnej pripravenosti"/>
                  <w:listItem w:displayText="5P1 Moderné regióny" w:value="5P1 Moderné regióny"/>
                  <w:listItem w:displayText="5P2 Dostupné bývanie v regiónoch" w:value="5P2 Dostupné bývanie v regiónoch"/>
                  <w:listItem w:displayText="5P3 Civilná pripravenosť v regiónoch" w:value="5P3 Civilná pripravenosť v regiónoch"/>
                  <w:listItem w:displayText="7P1 Technická pomoc EFRR" w:value="7P1 Technická pomoc EFRR"/>
                  <w:listItem w:displayText="7P2 Technická pomoc Kohézny fond" w:value="7P2 Technická pomoc Kohézny fond"/>
                  <w:listItem w:displayText="7P3 Technická pomoc ESF+" w:value="7P3 Technická pomoc ESF+"/>
                  <w:listItem w:displayText="7P4 Technická pomoc FST" w:value="7P4 Technická pomoc FST"/>
                  <w:listItem w:displayText="8P1 Fond na spravodlivú transformáciu" w:value="8P1 Fond na spravodlivú transformáciu"/>
                  <w:listItem w:displayText="8P2 Fond na spravodlivú transformáciu - MPS" w:value="8P2 Fond na spravodlivú transformáciu - MPS"/>
                </w:comboBox>
              </w:sdtPr>
              <w:sdtEndPr>
                <w:rPr>
                  <w:rStyle w:val="tl2"/>
                  <w:rFonts w:cs="Times New Roman"/>
                  <w:spacing w:val="0"/>
                  <w:szCs w:val="24"/>
                </w:rPr>
              </w:sdtEndPr>
              <w:sdtContent>
                <w:r w:rsidR="00495C51" w:rsidRPr="002C0DE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  <w:r w:rsidR="00495C51" w:rsidRPr="00C57852" w:rsidDel="00576835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 xml:space="preserve"> </w:t>
            </w:r>
          </w:p>
        </w:tc>
      </w:tr>
      <w:tr w:rsidR="00495C51" w:rsidRPr="00C57852" w14:paraId="024C540A" w14:textId="77777777" w:rsidTr="005122B1">
        <w:trPr>
          <w:jc w:val="center"/>
        </w:trPr>
        <w:tc>
          <w:tcPr>
            <w:tcW w:w="1131" w:type="dxa"/>
            <w:vMerge/>
            <w:vAlign w:val="center"/>
          </w:tcPr>
          <w:p w14:paraId="0A374A38" w14:textId="77777777" w:rsidR="00495C51" w:rsidRDefault="00495C51" w:rsidP="00495C51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2077" w:type="dxa"/>
            <w:vMerge/>
            <w:shd w:val="clear" w:color="auto" w:fill="FFFFFF" w:themeFill="background1"/>
            <w:vAlign w:val="center"/>
          </w:tcPr>
          <w:p w14:paraId="0626F793" w14:textId="77777777" w:rsidR="00495C51" w:rsidRPr="0072495D" w:rsidRDefault="00495C51" w:rsidP="00495C51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</w:p>
        </w:tc>
        <w:tc>
          <w:tcPr>
            <w:tcW w:w="6429" w:type="dxa"/>
            <w:gridSpan w:val="3"/>
            <w:vAlign w:val="center"/>
          </w:tcPr>
          <w:p w14:paraId="1FF482D8" w14:textId="2C9C39AE" w:rsidR="00495C51" w:rsidRPr="00C57852" w:rsidRDefault="00F65C8A" w:rsidP="00495C51">
            <w:pPr>
              <w:pStyle w:val="Zkladntext"/>
              <w:tabs>
                <w:tab w:val="center" w:pos="3160"/>
              </w:tabs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1161808514"/>
                <w:placeholder>
                  <w:docPart w:val="689658281BB241028868A671329B0A92"/>
                </w:placeholder>
                <w:showingPlcHdr/>
                <w:comboBox>
                  <w:listItem w:displayText="1P1 Veda, výskum a inovácie" w:value="1P1 Veda, výskum a inovácie"/>
                  <w:listItem w:displayText="1P2 Digitálna pripojiteľnosť" w:value="1P2 Digitálna pripojiteľnosť"/>
                  <w:listItem w:displayText="1P3 Platforma strategických technológií pre Európu (STEP)" w:value="1P3 Platforma strategických technológií pre Európu (STEP)"/>
                  <w:listItem w:displayText="1P4 Platforma strategických technológií pre Európu (STEP) - MPS" w:value="1P4 Platforma strategických technológií pre Európu (STEP) - MPS"/>
                  <w:listItem w:displayText="1P5 Podpora obranných spôsobilostí" w:value="1P5 Podpora obranných spôsobilostí"/>
                  <w:listItem w:displayText="2P1 Energetická efektívnosť a dekarbonizácia" w:value="2P1 Energetická efektívnosť a dekarbonizácia"/>
                  <w:listItem w:displayText="2P2 Životné prostredie" w:value="2P2 Životné prostredie"/>
                  <w:listItem w:displayText="2P3 Udržateľná mestská mobilita" w:value="2P3 Udržateľná mestská mobilita"/>
                  <w:listItem w:displayText="2P4 Odolné vodné hospodárstvo" w:value="2P4 Odolné vodné hospodárstvo"/>
                  <w:listItem w:displayText="2P5 Dostupné a udržateľné bývanie" w:value="2P5 Dostupné a udržateľné bývanie"/>
                  <w:listItem w:displayText="2P6 Energetická infraštruktúra" w:value="2P6 Energetická infraštruktúra"/>
                  <w:listItem w:displayText="3P1 Doprava" w:value="3P1 Doprava"/>
                  <w:listItem w:displayText="3P2 Obrana a bezpečnosť" w:value="3P2 Obrana a bezpečnosť"/>
                  <w:listItem w:displayText="4P1 Adaptabilný a prístupný trh práce" w:value="4P1 Adaptabilný a prístupný trh práce"/>
                  <w:listItem w:displayText="4P2 Kvalitné a inkluzívne vzdelávanie" w:value="4P2 Kvalitné a inkluzívne vzdelávanie"/>
                  <w:listItem w:displayText="4P3 Zručnosti pre lepšiu adaptabilitu a inklúziu" w:value="4P3 Zručnosti pre lepšiu adaptabilitu a inklúziu"/>
                  <w:listItem w:displayText="4P4 Záruka pre mladých (Zamestnanosť mladých ľudí)" w:value="4P4 Záruka pre mladých (Zamestnanosť mladých ľudí)"/>
                  <w:listItem w:displayText="4P5 Aktívne začlenenie a dostupné služby" w:value="4P5 Aktívne začlenenie a dostupné služby"/>
                  <w:listItem w:displayText="4P6 Aktívne začlenenie rómskych komunít" w:value="4P6 Aktívne začlenenie rómskych komunít"/>
                  <w:listItem w:displayText="4P7 Sociálne inovácie a experimenty (Akcie v oblasti sociálnej inovácie)" w:value="4P7 Sociálne inovácie a experimenty (Akcie v oblasti sociálnej inovácie)"/>
                  <w:listItem w:displayText="4P8 Potravinová a materiálna deprivácia" w:value="4P8 Potravinová a materiálna deprivácia"/>
                  <w:listItem w:displayText="4P9 Dostupné bývanie" w:value="4P9 Dostupné bývanie"/>
                  <w:listItem w:displayText="4P10 Zručnosti v civilnej pripravenosti" w:value="4P10 Zručnosti v civilnej pripravenosti"/>
                  <w:listItem w:displayText="5P1 Moderné regióny" w:value="5P1 Moderné regióny"/>
                  <w:listItem w:displayText="5P2 Dostupné bývanie v regiónoch" w:value="5P2 Dostupné bývanie v regiónoch"/>
                  <w:listItem w:displayText="5P3 Civilná pripravenosť v regiónoch" w:value="5P3 Civilná pripravenosť v regiónoch"/>
                  <w:listItem w:displayText="7P1 Technická pomoc EFRR" w:value="7P1 Technická pomoc EFRR"/>
                  <w:listItem w:displayText="7P2 Technická pomoc Kohézny fond" w:value="7P2 Technická pomoc Kohézny fond"/>
                  <w:listItem w:displayText="7P3 Technická pomoc ESF+" w:value="7P3 Technická pomoc ESF+"/>
                  <w:listItem w:displayText="7P4 Technická pomoc FST" w:value="7P4 Technická pomoc FST"/>
                  <w:listItem w:displayText="8P1 Fond na spravodlivú transformáciu" w:value="8P1 Fond na spravodlivú transformáciu"/>
                  <w:listItem w:displayText="8P2 Fond na spravodlivú transformáciu - MPS" w:value="8P2 Fond na spravodlivú transformáciu - MPS"/>
                </w:comboBox>
              </w:sdtPr>
              <w:sdtEndPr>
                <w:rPr>
                  <w:rStyle w:val="tl2"/>
                  <w:rFonts w:cs="Times New Roman"/>
                  <w:spacing w:val="0"/>
                  <w:szCs w:val="24"/>
                </w:rPr>
              </w:sdtEndPr>
              <w:sdtContent>
                <w:r w:rsidR="00495C51" w:rsidRPr="002C0DE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  <w:r w:rsidR="00495C51" w:rsidRPr="00C57852" w:rsidDel="00576835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 xml:space="preserve"> </w:t>
            </w:r>
          </w:p>
        </w:tc>
      </w:tr>
      <w:tr w:rsidR="00495C51" w:rsidRPr="00C57852" w14:paraId="29BA016B" w14:textId="77777777" w:rsidTr="00EA4AFD">
        <w:trPr>
          <w:jc w:val="center"/>
        </w:trPr>
        <w:tc>
          <w:tcPr>
            <w:tcW w:w="1131" w:type="dxa"/>
            <w:vMerge w:val="restart"/>
            <w:vAlign w:val="center"/>
          </w:tcPr>
          <w:p w14:paraId="4540C69E" w14:textId="6B5012EF" w:rsidR="00495C51" w:rsidRPr="00C57852" w:rsidRDefault="00495C51" w:rsidP="00495C51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2077" w:type="dxa"/>
            <w:vMerge w:val="restart"/>
            <w:shd w:val="clear" w:color="auto" w:fill="FFFFFF" w:themeFill="background1"/>
            <w:vAlign w:val="center"/>
          </w:tcPr>
          <w:p w14:paraId="61108413" w14:textId="77777777" w:rsidR="00495C51" w:rsidRPr="0072495D" w:rsidRDefault="00495C51" w:rsidP="00495C51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 w:rsidRPr="0072495D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Kód špecifického cieľa</w:t>
            </w:r>
          </w:p>
        </w:tc>
        <w:tc>
          <w:tcPr>
            <w:tcW w:w="6429" w:type="dxa"/>
            <w:gridSpan w:val="3"/>
          </w:tcPr>
          <w:p w14:paraId="51A7B43A" w14:textId="6E20EBD7" w:rsidR="00495C51" w:rsidRPr="004837F0" w:rsidRDefault="00F65C8A" w:rsidP="00495C51">
            <w:pPr>
              <w:pStyle w:val="Zkladntext"/>
              <w:tabs>
                <w:tab w:val="center" w:pos="3160"/>
              </w:tabs>
              <w:rPr>
                <w:rStyle w:val="tl2"/>
                <w:rFonts w:asciiTheme="minorHAnsi" w:hAnsiTheme="minorHAnsi" w:cstheme="minorHAnsi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1715929345"/>
                <w:placeholder>
                  <w:docPart w:val="F7E7F6D767E24C14A4CEF1CAB9E0347A"/>
                </w:placeholder>
                <w:showingPlcHdr/>
                <w:comboBox>
                  <w:listItem w:displayText="RSO1.1 Rozvoj a rozšírenie výskumných a inovačných kapacít a využívania pokročilých technológií (EFRR)" w:value="RSO1.1 Rozvoj a rozšírenie výskumných a inovačných kapacít a využívania pokročilých technológií (EFRR)"/>
                  <w:listItem w:displayText="RSO1.2 Využívanie prínosov digitalizácie pre občanov, podniky, výskumné organizácie a orgány verejnej správy (EFRR)" w:value="RSO1.2 Využívanie prínosov digitalizácie pre občanov, podniky, výskumné organizácie a orgány verejnej správy (EFRR)"/>
                  <w:listItem w:displayText="RSO1.3 Posilnenie udržateľného rastu a konkurencieschopnosti MSP a tvorby pracovných miest v MSP, a to aj produktívnymi investíciami (EFRR)" w:value="RSO1.3 Posilnenie udržateľného rastu a konkurencieschopnosti MSP a tvorby pracovných miest v MSP, a to aj produktívnymi investíciami (EFRR)"/>
                  <w:listItem w:displayText="RSO1.4 Rozvoj zručností pre inteligentnú špecializáciu, priemyselnú transformáciu a podnikanie (EFRR)" w:value="RSO1.4 Rozvoj zručností pre inteligentnú špecializáciu, priemyselnú transformáciu a podnikanie (EFRR)"/>
                  <w:listItem w:displayText="RSO1.5 Zvyšovanie digitálnej pripojiteľnosti (EFRR)" w:value="RSO1.5 Zvyšovanie digitálnej pripojiteľnosti (EFRR)"/>
                  <w:listItem w:displayText="RSO1.6 Podpory investícií, ktoré prispievajú k cieľom Platformy strategických technológií pre Európu uvedeným v článku 2 nariadenia Európskeho parlamentu a Rady (EÚ) 2024/795 (EFRR)" w:value="RSO1.6 Podpory investícií, ktoré prispievajú k cieľom Platformy strategických technológií pre Európu uvedeným v článku 2 nariadenia Európskeho parlamentu a Rady (EÚ) 2024/795 (EFRR)"/>
                  <w:listItem w:displayText="RSO1.7 Posilnenie priemyselných kapacít s cieľom podporiť obranné spôsobilosti, pričom sa uprednostnia spôsobilosti dvojakého použitia (EFRR)" w:value="RSO1.7 Posilnenie priemyselných kapacít s cieľom podporiť obranné spôsobilosti, pričom sa uprednostnia spôsobilosti dvojakého použitia (EFRR)"/>
                  <w:listItem w:displayText="RSO2.1 Podpora energetickej efektívnosti a znižovania emisií skleníkových plynov (EFRR)" w:value="RSO2.1 Podpora energetickej efektívnosti a znižovania emisií skleníkových plynov (EFRR)"/>
                  <w:listItem w:displayText="RSO2.1 Podpora energetickej efektívnosti a znižovania emisií skleníkových plynov (KF)" w:value="RSO2.1 Podpora energetickej efektívnosti a znižovania emisií skleníkových plynov (KF)"/>
                  <w:listItem w:displayText="RSO2.2 Podpora energie z obnoviteľných zdrojov v súlade so smernicou (EÚ) 2018/2001 vrátane kritérií udržateľnosti, ktoré sú v nej stanovené (EFRR)" w:value="RSO2.2 Podpora energie z obnoviteľných zdrojov v súlade so smernicou (EÚ) 2018/2001 vrátane kritérií udržateľnosti, ktoré sú v nej stanovené (EFRR)"/>
                  <w:listItem w:displayText="RSO2.3 Vývoj inteligentných energetických systémov, sietí a uskladnenia mimo Transeurópskej energetickej siete (TEN-E) (EFRR)" w:value="RSO2.3 Vývoj inteligentných energetických systémov, sietí a uskladnenia mimo Transeurópskej energetickej siete (TEN-E) (EFRR)"/>
                  <w:listItem w:displayText="RSO2.4 Podpora adaptácie na zmenu klímy a prevencie rizika katastrof a odolnosti s prihliadnutím na ekosystémové prístupy (EFRR)" w:value="RSO2.4 Podpora adaptácie na zmenu klímy a prevencie rizika katastrof a odolnosti s prihliadnutím na ekosystémové prístupy (EFRR)"/>
                  <w:listItem w:displayText="RSO2.4 Podpora adaptácie na zmenu klímy a prevencie rizika katastrof a odolnosti s prihliadnutím na ekosystémové prístupy (KF)" w:value="RSO2.4 Podpora adaptácie na zmenu klímy a prevencie rizika katastrof a odolnosti s prihliadnutím na ekosystémové prístupy (KF)"/>
                  <w:listItem w:displayText="RSO2.5 Podpora bezpečného prístupu k vode, udržateľného vodného hospodárstva, vrátane integrovaného vodného hospodárstva, a odolnosti vodných zdrojov (EFRR)" w:value="RSO2.5 Podpora bezpečného prístupu k vode, udržateľného vodného hospodárstva, vrátane integrovaného vodného hospodárstva, a odolnosti vodných zdrojov (EFRR)"/>
                  <w:listItem w:displayText="RSO2.5 Podpora bezpečného prístupu k vode, udržateľného vodného hospodárstva, vrátane integrovaného vodného hospodárstva, a odolnosti vodných zdrojov (KF)" w:value="RSO2.5 Podpora bezpečného prístupu k vode, udržateľného vodného hospodárstva, vrátane integrovaného vodného hospodárstva, a odolnosti vodných zdrojov (KF)"/>
                  <w:listItem w:displayText="RSO2.6 Podpora prechodu na obehové hospodárstvo, ktoré efektívne využíva zdroje (EFRR)" w:value="RSO2.6 Podpora prechodu na obehové hospodárstvo, ktoré efektívne využíva zdroje (EFRR)"/>
                  <w:listItem w:displayText="RSO2.7 Posilnenie ochrany a zachovania prírody, biodiverzity a zelenej infraštruktúry, a to aj v mestských oblastiach, a zníženia všetkých foriem znečistenia (EFRR)" w:value="RSO2.7 Posilnenie ochrany a zachovania prírody, biodiverzity a zelenej infraštruktúry, a to aj v mestských oblastiach, a zníženia všetkých foriem znečistenia (EFRR)"/>
                  <w:listItem w:displayText="RSO2.7 Posilnenie ochrany a zachovania prírody, biodiverzity a zelenej infraštruktúry, a to aj v mestských oblastiach, a zníženie všetkých foriem znečistenia (KF)" w:value="RSO2.7 Posilnenie ochrany a zachovania prírody, biodiverzity a zelenej infraštruktúry, a to aj v mestských oblastiach, a zníženie všetkých foriem znečistenia (KF)"/>
                  <w:listItem w:displayText="RSO2.8 Podpora udržateľnej multimodálnej mestskej mobility ako súčasti prechodu na hospodárstvo s nulovou bilanciou uhlíka (EFRR)" w:value="RSO2.8 Podpora udržateľnej multimodálnej mestskej mobility ako súčasti prechodu na hospodárstvo s nulovou bilanciou uhlíka (EFRR)"/>
                  <w:listItem w:displayText="RSO2.8 Podpora udržateľnej multimodálnej mestskej mobility ako súčasti prechodu na hospodárstvo s nulovou bilanciou uhlíka (KF)" w:value="RSO2.8 Podpora udržateľnej multimodálnej mestskej mobility ako súčasti prechodu na hospodárstvo s nulovou bilanciou uhlíka (KF)"/>
                  <w:listItem w:displayText="RSO2.11 Podpora prístupu k cenovo dostupnému a udržateľnému bývaniu (EFRR)" w:value="RSO2.11 Podpora prístupu k cenovo dostupnému a udržateľnému bývaniu (EFRR)"/>
                  <w:listItem w:displayText="RSO2.11 Podpora prístupu k cenovo dostupnému a udržateľnému bývaniu (KF)" w:value="RSO2.11 Podpora prístupu k cenovo dostupnému a udržateľnému bývaniu (KF)"/>
                  <w:listItem w:displayText="RSO2.12 Podpora spojovacích vedení a súvisiacej prenosovej, distribučnej, skladovacej a podpornej infraštruktúry, ako aj ochrana kritickej energetickej infraštruktúry a zavádzanie nabíjacej infraštruktúry (EFRR)" w:value="RSO2.12 Podpora spojovacích vedení a súvisiacej prenosovej, distribučnej, skladovacej a podpornej infraštruktúry, ako aj ochrana kritickej energetickej infraštruktúry a zavádzanie nabíjacej infraštruktúry (EFRR)"/>
                  <w:listItem w:displayText="RSO3.1 Rozvoj udržateľnej, inteligentnej, bezpečnej a intermodálnej siete TEN-T odolnej proti zmene klímy (EFRR)" w:value="RSO3.1 Rozvoj udržateľnej, inteligentnej, bezpečnej a intermodálnej siete TEN-T odolnej proti zmene klímy (EFRR)"/>
                  <w:listItem w:displayText="RSO3.1 Rozvoj udržateľnej, inteligentnej, bezpečnej a intermodálnej siete TEN-T odolnej proti zmene klímy (KF)" w:value="RSO3.1 Rozvoj udržateľnej, inteligentnej, bezpečnej a intermodálnej siete TEN-T odolnej proti zmene klímy (KF)"/>
                  <w:listItem w:displayText="RSO3.2 Rozvoj a posilňovanie udržateľnej, inteligentnej a intermodálnej vnútroštátnej, regionálnej a miestnej mobility odolnej proti zmene klímy vrátane zlepšeného prístupu k TEN-T a cezhraničnej mobility (EFRR)" w:value="RSO3.2 Rozvoj a posilňovanie udržateľnej, inteligentnej a intermodálnej vnútroštátnej, regionálnej a miestnej mobility odolnej proti zmene klímy vrátane zlepšeného prístupu k TEN-T a cezhraničnej mobility (EFRR)"/>
                  <w:listItem w:displayText="RSO3.3 Rozvoj odolnej obrannej infraštruktúry, pričom sa uprednostní infraštruktúra dvojakého použitia, vrátane podpory vojenskej mobility v Únii, ako aj zlepšovanie civilnej pripravenosti (EFRR)" w:value="RSO3.3 Rozvoj odolnej obrannej infraštruktúry, pričom sa uprednostní infraštruktúra dvojakého použitia, vrátane podpory vojenskej mobility v Únii, ako aj zlepšovanie civilnej pripravenosti (EFRR)"/>
                  <w:listItem w:displayText="RSO3.3 Rozvoj odolnej obrannej infraštruktúry, pričom sa uprednostní infraštruktúra dvojakého použitia, vrátane podpory vojenskej mobility v Únii, ako aj zlepšovanie civilnej pripravenosti (KF)" w:value="RSO3.3 Rozvoj odolnej obrannej infraštruktúry, pričom sa uprednostní infraštruktúra dvojakého použitia, vrátane podpory vojenskej mobility v Únii, ako aj zlepšovanie civilnej pripravenosti (KF)"/>
                  <w:listItem w:displayText="RSO4.1 Zvyšovanie účinnosti a inkluzívnosti trhov práce a prístupu ku kvalitnému zamestnaniu rozvíjaním sociálnej infraštruktúry a podporou sociálneho hospodárstva (EFRR)" w:value="RSO4.1 Zvyšovanie účinnosti a inkluzívnosti trhov práce a prístupu ku kvalitnému zamestnaniu rozvíjaním sociálnej infraštruktúry a podporou sociálneho hospodárstva (EFRR)"/>
                  <w:listItem w:displayText="RSO4.2 Zlepšenie rovného prístupu k inkluzívnym a kvalitným službám v oblasti vzdelávania, odbornej prípravy a celoživotného vzdelávania rozvíjaním dostupnej infraštruk. vrátane posilňovania odolnosti pre dištančné a online vzd. a odbornú prípravu (EFRR)" w:value="RSO4.2 Zlepšenie rovného prístupu k inkluzívnym a kvalitným službám v oblasti vzdelávania, odbornej prípravy a celoživotného vzdelávania rozvíjaním dostupnej infraštruk. vrátane posilňovania odolnosti pre dištančné a online vzd. a odbornú prípravu (EFRR)"/>
                  <w:listItem w:displayText="RSO4.3 Podpora sociálno-ekonomického začlenenia marginalizovaných komunít, domácností s nízkym príjmom a znevýhodnených skupín vrátane osôb s osobitnými potrebami prostredníctvom integrovaných akcií vrátane bývania a sociálnych služieb (EFRR)" w:value="RSO4.3 Podpora sociálno-ekonomického začlenenia marginalizovaných komunít, domácností s nízkym príjmom a znevýhodnených skupín vrátane osôb s osobitnými potrebami prostredníctvom integrovaných akcií vrátane bývania a sociálnych služieb (EFRR)"/>
                  <w:listItem w:displayText="RSO4.5 Zabezpečenia rovného prístupu k zdravotnej starostlivosti a zvýšenie odolnosti systémov zdravotnej starostlivosti vrátane primárnej starostlivosti, a podpory prechodu z inštitucionálnej starostlivosti na rodinnú a komunitnú starostlivosť (EFRR)" w:value="RSO4.5 Zabezpečenia rovného prístupu k zdravotnej starostlivosti a zvýšenie odolnosti systémov zdravotnej starostlivosti vrátane primárnej starostlivosti, a podpory prechodu z inštitucionálnej starostlivosti na rodinnú a komunitnú starostlivosť (EFRR)"/>
                  <w:listItem w:displayText="RSO4.6 Posilnenie úlohy kultúry a udržateľného cestovného ruchu v oblasti hospodárskeho rozvoja, sociálneho začlenenia a sociálnej inovácie (EFRR)" w:value="RSO4.6 Posilnenie úlohy kultúry a udržateľného cestovného ruchu v oblasti hospodárskeho rozvoja, sociálneho začlenenia a sociálnej inovácie (EFRR)"/>
                  <w:listItem w:displayText="RSO4.7 Podpora prístupu k cenovo dostupnému a udržateľnému bývaniu (EFRR)" w:value="RSO4.7 Podpora prístupu k cenovo dostupnému a udržateľnému bývaniu (EFRR)"/>
                  <w:listItem w:displayText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 w:value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/>
                  <w:listItem w:displayText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 w:value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/>
                  <w:listItem w:displayText="ESO4.3 Podpora rodovo vyváženej účasti na trhu práce, rovnakých pracovných podmienok a lepšej rovnováhy medzi pracovným a súkromným životom vrátane prístupu k cenovo dostupnej starostlivosti o deti a odkázané osoby" w:value="ESO4.3 Podpora rodovo vyváženej účasti na trhu práce, rovnakých pracovných podmienok a lepšej rovnováhy medzi pracovným a súkromným životom vrátane prístupu k cenovo dostupnej starostlivosti o deti a odkázané osoby"/>
                  <w:listItem w:displayText="ESO4.4 Podpora adaptácie pracovníkov, podnikov a podnikateľov na zmeny, ako aj aktívneho a zdravého starnutia a zdravého a vhodne prispôsobeného pracovného prostredia, ktoré rieši zdravotné riziká" w:value="ESO4.4 Podpora adaptácie pracovníkov, podnikov a podnikateľov na zmeny, ako aj aktívneho a zdravého starnutia a zdravého a vhodne prispôsobeného pracovného prostredia, ktoré rieši zdravotné riziká"/>
                  <w:listItem w:displayText="ESO4.5 Zvýšenie kvality, inkluzívnosti a účinnosti systémov vzdelávania a odbornej prípravy, ako aj ich relevantnosti z hľadiska trhu práce okrem iného prostredníctvom potvrdzovania výsledkov neformálneho vzdelávania a informálneho učenia sa s cieľom pod.." w:value="ESO4.5 Zvýšenie kvality, inkluzívnosti a účinnosti systémov vzdelávania a odbornej prípravy, ako aj ich relevantnosti z hľadiska trhu práce okrem iného prostredníctvom potvrdzovania výsledkov neformálneho vzdelávania a informálneho učenia sa s cieľom pod.."/>
                  <w:listItem w:displayText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 w:value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/>
                  <w:listItem w:displayText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 w:value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/>
                  <w:listItem w:displayText="ESO4.8 Podpora aktívneho začlenenia s cieľom podporovať rovnosť príležitostí, nediskrimináciu a aktívnu účasť a zlepšenie zamestnateľnosti, najmä v prípade znevýhodnených skupín" w:value="ESO4.8 Podpora aktívneho začlenenia s cieľom podporovať rovnosť príležitostí, nediskrimináciu a aktívnu účasť a zlepšenie zamestnateľnosti, najmä v prípade znevýhodnených skupín"/>
                  <w:listItem w:displayText="ESO4.9 Podpora sociálno-ekonomickej integrácie štátnych príslušníkov tretích krajín vrátane migrantov" w:value="ESO4.9 Podpora sociálno-ekonomickej integrácie štátnych príslušníkov tretích krajín vrátane migrantov"/>
                  <w:listItem w:displayText="ESO4.10 Podpora sociálno-ekonomickej integrácie marginalizovaných komunít, ako sú napríklad Rómovia" w:value="ESO4.10 Podpora sociálno-ekonomickej integrácie marginalizovaných komunít, ako sú napríklad Rómovia"/>
                  <w:listItem w:displayText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 w:value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/>
                  <w:listItem w:displayText="ESO4.12 Podpora sociálnej integrácie osôb ohrozených chudobou alebo sociálnym vylúčením vrátane najodkázanejších osôb a detí" w:value="ESO4.12 Podpora sociálnej integrácie osôb ohrozených chudobou alebo sociálnym vylúčením vrátane najodkázanejších osôb a detí"/>
                  <w:listItem w:displayText="ESO4.13 Riešenie materiálnej deprivácie prostredníctvom potravinovej a/alebo základnej materiálnej pomoci pre najodkázanejšie osoby vrátane detí a zabezpečenie sprievodných opatrení podporujúcich ich sociálne začlenenie" w:value="ESO4.13 Riešenie materiálnej deprivácie prostredníctvom potravinovej a/alebo základnej materiálnej pomoci pre najodkázanejšie osoby vrátane detí a zabezpečenie sprievodných opatrení podporujúcich ich sociálne začlenenie"/>
                  <w:listItem w:displayText="RSO5.1 Podpora integrovaného a inkluzívneho sociálneho, hospodárskeho a environmentálneho rozvoja, kultúry, prírodného dedičstva, udržateľného cestovného ruchu a bezpečnosti v mestských oblastiach (EFRR)" w:value="RSO5.1 Podpora integrovaného a inkluzívneho sociálneho, hospodárskeho a environmentálneho rozvoja, kultúry, prírodného dedičstva, udržateľného cestovného ruchu a bezpečnosti v mestských oblastiach (EFRR)"/>
                  <w:listItem w:displayText="RSO5.2 Podpora integrovaného a inkluzívneho sociálneho, hospodárskeho a environmentálneho miestneho rozvoja, kultúry, prírodného dedičstva, udržateľného cestovného ruchu a bezpečnosti v iných ako mestských oblastiach (EFRR)" w:value="RSO5.2 Podpora integrovaného a inkluzívneho sociálneho, hospodárskeho a environmentálneho miestneho rozvoja, kultúry, prírodného dedičstva, udržateľného cestovného ruchu a bezpečnosti v iných ako mestských oblastiach (EFRR)"/>
                  <w:listItem w:displayText="RSO5.3 Podpora integrovaného územného rozvoja na základe prístupu k cenovo dostupnému a udržateľnému bývaniu na všetkých typoch území (EFRR)" w:value="RSO5.3 Podpora integrovaného územného rozvoja na základe prístupu k cenovo dostupnému a udržateľnému bývaniu na všetkých typoch území (EFRR)"/>
                  <w:listItem w:displayText="RSO5.4 Zabezpečenia civilnej pripravenosti na všetkých typoch území (EFRR)" w:value="RSO5.4 Zabezpečenia civilnej pripravenosti na všetkých typoch území (EFRR)"/>
                  <w:listItem w:displayText="TSO7.1 Technická pomoc EFRR" w:value="TSO7.1 Technická pomoc EFRR"/>
                  <w:listItem w:displayText="TSO7.2 Technická pomoc Kohézny fond" w:value="TSO7.2 Technická pomoc Kohézny fond"/>
                  <w:listItem w:displayText="TSO7.3 Technická pomoc ESF+" w:value="TSO7.3 Technická pomoc ESF+"/>
                  <w:listItem w:displayText="TSO7.4 Technická pomoc FST" w:value="TSO7.4 Technická pomoc FST"/>
                  <w:listItem w:displayText="JSO8.1 Umožnenie regiónom a ľuďom riešiť dôsledky v soc., hosp. a environ. oblasti, ako aj v oblasti zamestnanosti spôsobené transformáciou smerom k energet. klim. cieľom Únie na rok 2030 a k dosiahnutiu cieľa klim. neutrál. hosp. Únie do roku 2050.. (FST)" w:value="JSO8.1 Umožnenie regiónom a ľuďom riešiť dôsledky v soc., hosp. a environ. oblasti, ako aj v oblasti zamestnanosti spôsobené transformáciou smerom k energet. klim. cieľom Únie na rok 2030 a k dosiahnutiu cieľa klim. neutrál. hosp. Únie do roku 2050.. (FST)"/>
                </w:comboBox>
              </w:sdtPr>
              <w:sdtEndPr>
                <w:rPr>
                  <w:rStyle w:val="tl2"/>
                </w:rPr>
              </w:sdtEndPr>
              <w:sdtContent>
                <w:r w:rsidR="00495C51" w:rsidRPr="004837F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495C51" w:rsidRPr="00C57852" w14:paraId="0F0FE611" w14:textId="77777777" w:rsidTr="00EA4AFD">
        <w:trPr>
          <w:jc w:val="center"/>
        </w:trPr>
        <w:tc>
          <w:tcPr>
            <w:tcW w:w="1131" w:type="dxa"/>
            <w:vMerge/>
            <w:vAlign w:val="center"/>
          </w:tcPr>
          <w:p w14:paraId="5FD5325F" w14:textId="77777777" w:rsidR="00495C51" w:rsidRPr="00C57852" w:rsidRDefault="00495C51" w:rsidP="00495C51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2077" w:type="dxa"/>
            <w:vMerge/>
            <w:shd w:val="clear" w:color="auto" w:fill="FFFFFF" w:themeFill="background1"/>
            <w:vAlign w:val="center"/>
          </w:tcPr>
          <w:p w14:paraId="10FA51D0" w14:textId="77777777" w:rsidR="00495C51" w:rsidRPr="0072495D" w:rsidRDefault="00495C51" w:rsidP="00495C51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</w:p>
        </w:tc>
        <w:tc>
          <w:tcPr>
            <w:tcW w:w="6429" w:type="dxa"/>
            <w:gridSpan w:val="3"/>
          </w:tcPr>
          <w:p w14:paraId="6E21503B" w14:textId="3F353270" w:rsidR="00495C51" w:rsidRPr="004837F0" w:rsidRDefault="00F65C8A" w:rsidP="00495C51">
            <w:pPr>
              <w:pStyle w:val="Zkladntext"/>
              <w:tabs>
                <w:tab w:val="center" w:pos="3160"/>
              </w:tabs>
              <w:rPr>
                <w:rStyle w:val="tl2"/>
                <w:rFonts w:asciiTheme="minorHAnsi" w:hAnsiTheme="minorHAnsi" w:cstheme="minorHAnsi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-537191700"/>
                <w:placeholder>
                  <w:docPart w:val="DC55F78A9B004D268E9D7810D47E26AC"/>
                </w:placeholder>
                <w:showingPlcHdr/>
                <w:comboBox>
                  <w:listItem w:displayText="RSO1.1 Rozvoj a rozšírenie výskumných a inovačných kapacít a využívania pokročilých technológií (EFRR)" w:value="RSO1.1 Rozvoj a rozšírenie výskumných a inovačných kapacít a využívania pokročilých technológií (EFRR)"/>
                  <w:listItem w:displayText="RSO1.2 Využívanie prínosov digitalizácie pre občanov, podniky, výskumné organizácie a orgány verejnej správy (EFRR)" w:value="RSO1.2 Využívanie prínosov digitalizácie pre občanov, podniky, výskumné organizácie a orgány verejnej správy (EFRR)"/>
                  <w:listItem w:displayText="RSO1.3 Posilnenie udržateľného rastu a konkurencieschopnosti MSP a tvorby pracovných miest v MSP, a to aj produktívnymi investíciami (EFRR)" w:value="RSO1.3 Posilnenie udržateľného rastu a konkurencieschopnosti MSP a tvorby pracovných miest v MSP, a to aj produktívnymi investíciami (EFRR)"/>
                  <w:listItem w:displayText="RSO1.4 Rozvoj zručností pre inteligentnú špecializáciu, priemyselnú transformáciu a podnikanie (EFRR)" w:value="RSO1.4 Rozvoj zručností pre inteligentnú špecializáciu, priemyselnú transformáciu a podnikanie (EFRR)"/>
                  <w:listItem w:displayText="RSO1.5 Zvyšovanie digitálnej pripojiteľnosti (EFRR)" w:value="RSO1.5 Zvyšovanie digitálnej pripojiteľnosti (EFRR)"/>
                  <w:listItem w:displayText="RSO1.6 Podpory investícií, ktoré prispievajú k cieľom Platformy strategických technológií pre Európu uvedeným v článku 2 nariadenia Európskeho parlamentu a Rady (EÚ) 2024/795 (EFRR)" w:value="RSO1.6 Podpory investícií, ktoré prispievajú k cieľom Platformy strategických technológií pre Európu uvedeným v článku 2 nariadenia Európskeho parlamentu a Rady (EÚ) 2024/795 (EFRR)"/>
                  <w:listItem w:displayText="RSO1.7 Posilnenie priemyselných kapacít s cieľom podporiť obranné spôsobilosti, pričom sa uprednostnia spôsobilosti dvojakého použitia (EFRR)" w:value="RSO1.7 Posilnenie priemyselných kapacít s cieľom podporiť obranné spôsobilosti, pričom sa uprednostnia spôsobilosti dvojakého použitia (EFRR)"/>
                  <w:listItem w:displayText="RSO2.1 Podpora energetickej efektívnosti a znižovania emisií skleníkových plynov (EFRR)" w:value="RSO2.1 Podpora energetickej efektívnosti a znižovania emisií skleníkových plynov (EFRR)"/>
                  <w:listItem w:displayText="RSO2.1 Podpora energetickej efektívnosti a znižovania emisií skleníkových plynov (KF)" w:value="RSO2.1 Podpora energetickej efektívnosti a znižovania emisií skleníkových plynov (KF)"/>
                  <w:listItem w:displayText="RSO2.2 Podpora energie z obnoviteľných zdrojov v súlade so smernicou (EÚ) 2018/2001 vrátane kritérií udržateľnosti, ktoré sú v nej stanovené (EFRR)" w:value="RSO2.2 Podpora energie z obnoviteľných zdrojov v súlade so smernicou (EÚ) 2018/2001 vrátane kritérií udržateľnosti, ktoré sú v nej stanovené (EFRR)"/>
                  <w:listItem w:displayText="RSO2.3 Vývoj inteligentných energetických systémov, sietí a uskladnenia mimo Transeurópskej energetickej siete (TEN-E) (EFRR)" w:value="RSO2.3 Vývoj inteligentných energetických systémov, sietí a uskladnenia mimo Transeurópskej energetickej siete (TEN-E) (EFRR)"/>
                  <w:listItem w:displayText="RSO2.4 Podpora adaptácie na zmenu klímy a prevencie rizika katastrof a odolnosti s prihliadnutím na ekosystémové prístupy (EFRR)" w:value="RSO2.4 Podpora adaptácie na zmenu klímy a prevencie rizika katastrof a odolnosti s prihliadnutím na ekosystémové prístupy (EFRR)"/>
                  <w:listItem w:displayText="RSO2.4 Podpora adaptácie na zmenu klímy a prevencie rizika katastrof a odolnosti s prihliadnutím na ekosystémové prístupy (KF)" w:value="RSO2.4 Podpora adaptácie na zmenu klímy a prevencie rizika katastrof a odolnosti s prihliadnutím na ekosystémové prístupy (KF)"/>
                  <w:listItem w:displayText="RSO2.5 Podpora bezpečného prístupu k vode, udržateľného vodného hospodárstva, vrátane integrovaného vodného hospodárstva, a odolnosti vodných zdrojov (EFRR)" w:value="RSO2.5 Podpora bezpečného prístupu k vode, udržateľného vodného hospodárstva, vrátane integrovaného vodného hospodárstva, a odolnosti vodných zdrojov (EFRR)"/>
                  <w:listItem w:displayText="RSO2.5 Podpora bezpečného prístupu k vode, udržateľného vodného hospodárstva, vrátane integrovaného vodného hospodárstva, a odolnosti vodných zdrojov (KF)" w:value="RSO2.5 Podpora bezpečného prístupu k vode, udržateľného vodného hospodárstva, vrátane integrovaného vodného hospodárstva, a odolnosti vodných zdrojov (KF)"/>
                  <w:listItem w:displayText="RSO2.6 Podpora prechodu na obehové hospodárstvo, ktoré efektívne využíva zdroje (EFRR)" w:value="RSO2.6 Podpora prechodu na obehové hospodárstvo, ktoré efektívne využíva zdroje (EFRR)"/>
                  <w:listItem w:displayText="RSO2.7 Posilnenie ochrany a zachovania prírody, biodiverzity a zelenej infraštruktúry, a to aj v mestských oblastiach, a zníženia všetkých foriem znečistenia (EFRR)" w:value="RSO2.7 Posilnenie ochrany a zachovania prírody, biodiverzity a zelenej infraštruktúry, a to aj v mestských oblastiach, a zníženia všetkých foriem znečistenia (EFRR)"/>
                  <w:listItem w:displayText="RSO2.7 Posilnenie ochrany a zachovania prírody, biodiverzity a zelenej infraštruktúry, a to aj v mestských oblastiach, a zníženie všetkých foriem znečistenia (KF)" w:value="RSO2.7 Posilnenie ochrany a zachovania prírody, biodiverzity a zelenej infraštruktúry, a to aj v mestských oblastiach, a zníženie všetkých foriem znečistenia (KF)"/>
                  <w:listItem w:displayText="RSO2.8 Podpora udržateľnej multimodálnej mestskej mobility ako súčasti prechodu na hospodárstvo s nulovou bilanciou uhlíka (EFRR)" w:value="RSO2.8 Podpora udržateľnej multimodálnej mestskej mobility ako súčasti prechodu na hospodárstvo s nulovou bilanciou uhlíka (EFRR)"/>
                  <w:listItem w:displayText="RSO2.8 Podpora udržateľnej multimodálnej mestskej mobility ako súčasti prechodu na hospodárstvo s nulovou bilanciou uhlíka (KF)" w:value="RSO2.8 Podpora udržateľnej multimodálnej mestskej mobility ako súčasti prechodu na hospodárstvo s nulovou bilanciou uhlíka (KF)"/>
                  <w:listItem w:displayText="RSO2.11 Podpora prístupu k cenovo dostupnému a udržateľnému bývaniu (EFRR)" w:value="RSO2.11 Podpora prístupu k cenovo dostupnému a udržateľnému bývaniu (EFRR)"/>
                  <w:listItem w:displayText="RSO2.11 Podpora prístupu k cenovo dostupnému a udržateľnému bývaniu (KF)" w:value="RSO2.11 Podpora prístupu k cenovo dostupnému a udržateľnému bývaniu (KF)"/>
                  <w:listItem w:displayText="RSO2.12 Podpora spojovacích vedení a súvisiacej prenosovej, distribučnej, skladovacej a podpornej infraštruktúry, ako aj ochrana kritickej energetickej infraštruktúry a zavádzanie nabíjacej infraštruktúry (EFRR)" w:value="RSO2.12 Podpora spojovacích vedení a súvisiacej prenosovej, distribučnej, skladovacej a podpornej infraštruktúry, ako aj ochrana kritickej energetickej infraštruktúry a zavádzanie nabíjacej infraštruktúry (EFRR)"/>
                  <w:listItem w:displayText="RSO3.1 Rozvoj udržateľnej, inteligentnej, bezpečnej a intermodálnej siete TEN-T odolnej proti zmene klímy (EFRR)" w:value="RSO3.1 Rozvoj udržateľnej, inteligentnej, bezpečnej a intermodálnej siete TEN-T odolnej proti zmene klímy (EFRR)"/>
                  <w:listItem w:displayText="RSO3.1 Rozvoj udržateľnej, inteligentnej, bezpečnej a intermodálnej siete TEN-T odolnej proti zmene klímy (KF)" w:value="RSO3.1 Rozvoj udržateľnej, inteligentnej, bezpečnej a intermodálnej siete TEN-T odolnej proti zmene klímy (KF)"/>
                  <w:listItem w:displayText="RSO3.2 Rozvoj a posilňovanie udržateľnej, inteligentnej a intermodálnej vnútroštátnej, regionálnej a miestnej mobility odolnej proti zmene klímy vrátane zlepšeného prístupu k TEN-T a cezhraničnej mobility (EFRR)" w:value="RSO3.2 Rozvoj a posilňovanie udržateľnej, inteligentnej a intermodálnej vnútroštátnej, regionálnej a miestnej mobility odolnej proti zmene klímy vrátane zlepšeného prístupu k TEN-T a cezhraničnej mobility (EFRR)"/>
                  <w:listItem w:displayText="RSO3.3 Rozvoj odolnej obrannej infraštruktúry, pričom sa uprednostní infraštruktúra dvojakého použitia, vrátane podpory vojenskej mobility v Únii, ako aj zlepšovanie civilnej pripravenosti (EFRR)" w:value="RSO3.3 Rozvoj odolnej obrannej infraštruktúry, pričom sa uprednostní infraštruktúra dvojakého použitia, vrátane podpory vojenskej mobility v Únii, ako aj zlepšovanie civilnej pripravenosti (EFRR)"/>
                  <w:listItem w:displayText="RSO3.3 Rozvoj odolnej obrannej infraštruktúry, pričom sa uprednostní infraštruktúra dvojakého použitia, vrátane podpory vojenskej mobility v Únii, ako aj zlepšovanie civilnej pripravenosti (KF)" w:value="RSO3.3 Rozvoj odolnej obrannej infraštruktúry, pričom sa uprednostní infraštruktúra dvojakého použitia, vrátane podpory vojenskej mobility v Únii, ako aj zlepšovanie civilnej pripravenosti (KF)"/>
                  <w:listItem w:displayText="RSO4.1 Zvyšovanie účinnosti a inkluzívnosti trhov práce a prístupu ku kvalitnému zamestnaniu rozvíjaním sociálnej infraštruktúry a podporou sociálneho hospodárstva (EFRR)" w:value="RSO4.1 Zvyšovanie účinnosti a inkluzívnosti trhov práce a prístupu ku kvalitnému zamestnaniu rozvíjaním sociálnej infraštruktúry a podporou sociálneho hospodárstva (EFRR)"/>
                  <w:listItem w:displayText="RSO4.2 Zlepšenie rovného prístupu k inkluzívnym a kvalitným službám v oblasti vzdelávania, odbornej prípravy a celoživotného vzdelávania rozvíjaním dostupnej infraštruk. vrátane posilňovania odolnosti pre dištančné a online vzd. a odbornú prípravu (EFRR)" w:value="RSO4.2 Zlepšenie rovného prístupu k inkluzívnym a kvalitným službám v oblasti vzdelávania, odbornej prípravy a celoživotného vzdelávania rozvíjaním dostupnej infraštruk. vrátane posilňovania odolnosti pre dištančné a online vzd. a odbornú prípravu (EFRR)"/>
                  <w:listItem w:displayText="RSO4.3 Podpora sociálno-ekonomického začlenenia marginalizovaných komunít, domácností s nízkym príjmom a znevýhodnených skupín vrátane osôb s osobitnými potrebami prostredníctvom integrovaných akcií vrátane bývania a sociálnych služieb (EFRR)" w:value="RSO4.3 Podpora sociálno-ekonomického začlenenia marginalizovaných komunít, domácností s nízkym príjmom a znevýhodnených skupín vrátane osôb s osobitnými potrebami prostredníctvom integrovaných akcií vrátane bývania a sociálnych služieb (EFRR)"/>
                  <w:listItem w:displayText="RSO4.5 Zabezpečenia rovného prístupu k zdravotnej starostlivosti a zvýšenie odolnosti systémov zdravotnej starostlivosti vrátane primárnej starostlivosti, a podpory prechodu z inštitucionálnej starostlivosti na rodinnú a komunitnú starostlivosť (EFRR)" w:value="RSO4.5 Zabezpečenia rovného prístupu k zdravotnej starostlivosti a zvýšenie odolnosti systémov zdravotnej starostlivosti vrátane primárnej starostlivosti, a podpory prechodu z inštitucionálnej starostlivosti na rodinnú a komunitnú starostlivosť (EFRR)"/>
                  <w:listItem w:displayText="RSO4.6 Posilnenie úlohy kultúry a udržateľného cestovného ruchu v oblasti hospodárskeho rozvoja, sociálneho začlenenia a sociálnej inovácie (EFRR)" w:value="RSO4.6 Posilnenie úlohy kultúry a udržateľného cestovného ruchu v oblasti hospodárskeho rozvoja, sociálneho začlenenia a sociálnej inovácie (EFRR)"/>
                  <w:listItem w:displayText="RSO4.7 Podpora prístupu k cenovo dostupnému a udržateľnému bývaniu (EFRR)" w:value="RSO4.7 Podpora prístupu k cenovo dostupnému a udržateľnému bývaniu (EFRR)"/>
                  <w:listItem w:displayText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 w:value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/>
                  <w:listItem w:displayText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 w:value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/>
                  <w:listItem w:displayText="ESO4.3 Podpora rodovo vyváženej účasti na trhu práce, rovnakých pracovných podmienok a lepšej rovnováhy medzi pracovným a súkromným životom vrátane prístupu k cenovo dostupnej starostlivosti o deti a odkázané osoby" w:value="ESO4.3 Podpora rodovo vyváženej účasti na trhu práce, rovnakých pracovných podmienok a lepšej rovnováhy medzi pracovným a súkromným životom vrátane prístupu k cenovo dostupnej starostlivosti o deti a odkázané osoby"/>
                  <w:listItem w:displayText="ESO4.4 Podpora adaptácie pracovníkov, podnikov a podnikateľov na zmeny, ako aj aktívneho a zdravého starnutia a zdravého a vhodne prispôsobeného pracovného prostredia, ktoré rieši zdravotné riziká" w:value="ESO4.4 Podpora adaptácie pracovníkov, podnikov a podnikateľov na zmeny, ako aj aktívneho a zdravého starnutia a zdravého a vhodne prispôsobeného pracovného prostredia, ktoré rieši zdravotné riziká"/>
                  <w:listItem w:displayText="ESO4.5 Zvýšenie kvality, inkluzívnosti a účinnosti systémov vzdelávania a odbornej prípravy, ako aj ich relevantnosti z hľadiska trhu práce okrem iného prostredníctvom potvrdzovania výsledkov neformálneho vzdelávania a informálneho učenia sa s cieľom pod.." w:value="ESO4.5 Zvýšenie kvality, inkluzívnosti a účinnosti systémov vzdelávania a odbornej prípravy, ako aj ich relevantnosti z hľadiska trhu práce okrem iného prostredníctvom potvrdzovania výsledkov neformálneho vzdelávania a informálneho učenia sa s cieľom pod.."/>
                  <w:listItem w:displayText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 w:value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/>
                  <w:listItem w:displayText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 w:value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/>
                  <w:listItem w:displayText="ESO4.8 Podpora aktívneho začlenenia s cieľom podporovať rovnosť príležitostí, nediskrimináciu a aktívnu účasť a zlepšenie zamestnateľnosti, najmä v prípade znevýhodnených skupín" w:value="ESO4.8 Podpora aktívneho začlenenia s cieľom podporovať rovnosť príležitostí, nediskrimináciu a aktívnu účasť a zlepšenie zamestnateľnosti, najmä v prípade znevýhodnených skupín"/>
                  <w:listItem w:displayText="ESO4.9 Podpora sociálno-ekonomickej integrácie štátnych príslušníkov tretích krajín vrátane migrantov" w:value="ESO4.9 Podpora sociálno-ekonomickej integrácie štátnych príslušníkov tretích krajín vrátane migrantov"/>
                  <w:listItem w:displayText="ESO4.10 Podpora sociálno-ekonomickej integrácie marginalizovaných komunít, ako sú napríklad Rómovia" w:value="ESO4.10 Podpora sociálno-ekonomickej integrácie marginalizovaných komunít, ako sú napríklad Rómovia"/>
                  <w:listItem w:displayText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 w:value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/>
                  <w:listItem w:displayText="ESO4.12 Podpora sociálnej integrácie osôb ohrozených chudobou alebo sociálnym vylúčením vrátane najodkázanejších osôb a detí" w:value="ESO4.12 Podpora sociálnej integrácie osôb ohrozených chudobou alebo sociálnym vylúčením vrátane najodkázanejších osôb a detí"/>
                  <w:listItem w:displayText="ESO4.13 Riešenie materiálnej deprivácie prostredníctvom potravinovej a/alebo základnej materiálnej pomoci pre najodkázanejšie osoby vrátane detí a zabezpečenie sprievodných opatrení podporujúcich ich sociálne začlenenie" w:value="ESO4.13 Riešenie materiálnej deprivácie prostredníctvom potravinovej a/alebo základnej materiálnej pomoci pre najodkázanejšie osoby vrátane detí a zabezpečenie sprievodných opatrení podporujúcich ich sociálne začlenenie"/>
                  <w:listItem w:displayText="RSO5.1 Podpora integrovaného a inkluzívneho sociálneho, hospodárskeho a environmentálneho rozvoja, kultúry, prírodného dedičstva, udržateľného cestovného ruchu a bezpečnosti v mestských oblastiach (EFRR)" w:value="RSO5.1 Podpora integrovaného a inkluzívneho sociálneho, hospodárskeho a environmentálneho rozvoja, kultúry, prírodného dedičstva, udržateľného cestovného ruchu a bezpečnosti v mestských oblastiach (EFRR)"/>
                  <w:listItem w:displayText="RSO5.2 Podpora integrovaného a inkluzívneho sociálneho, hospodárskeho a environmentálneho miestneho rozvoja, kultúry, prírodného dedičstva, udržateľného cestovného ruchu a bezpečnosti v iných ako mestských oblastiach (EFRR)" w:value="RSO5.2 Podpora integrovaného a inkluzívneho sociálneho, hospodárskeho a environmentálneho miestneho rozvoja, kultúry, prírodného dedičstva, udržateľného cestovného ruchu a bezpečnosti v iných ako mestských oblastiach (EFRR)"/>
                  <w:listItem w:displayText="RSO5.3 Podpora integrovaného územného rozvoja na základe prístupu k cenovo dostupnému a udržateľnému bývaniu na všetkých typoch území (EFRR)" w:value="RSO5.3 Podpora integrovaného územného rozvoja na základe prístupu k cenovo dostupnému a udržateľnému bývaniu na všetkých typoch území (EFRR)"/>
                  <w:listItem w:displayText="RSO5.4 Zabezpečenia civilnej pripravenosti na všetkých typoch území (EFRR)" w:value="RSO5.4 Zabezpečenia civilnej pripravenosti na všetkých typoch území (EFRR)"/>
                  <w:listItem w:displayText="TSO7.1 Technická pomoc EFRR" w:value="TSO7.1 Technická pomoc EFRR"/>
                  <w:listItem w:displayText="TSO7.2 Technická pomoc Kohézny fond" w:value="TSO7.2 Technická pomoc Kohézny fond"/>
                  <w:listItem w:displayText="TSO7.3 Technická pomoc ESF+" w:value="TSO7.3 Technická pomoc ESF+"/>
                  <w:listItem w:displayText="TSO7.4 Technická pomoc FST" w:value="TSO7.4 Technická pomoc FST"/>
                  <w:listItem w:displayText="JSO8.1 Umožnenie regiónom a ľuďom riešiť dôsledky v soc., hosp. a environ. oblasti, ako aj v oblasti zamestnanosti spôsobené transformáciou smerom k energet. klim. cieľom Únie na rok 2030 a k dosiahnutiu cieľa klim. neutrál. hosp. Únie do roku 2050.. (FST)" w:value="JSO8.1 Umožnenie regiónom a ľuďom riešiť dôsledky v soc., hosp. a environ. oblasti, ako aj v oblasti zamestnanosti spôsobené transformáciou smerom k energet. klim. cieľom Únie na rok 2030 a k dosiahnutiu cieľa klim. neutrál. hosp. Únie do roku 2050.. (FST)"/>
                </w:comboBox>
              </w:sdtPr>
              <w:sdtEndPr>
                <w:rPr>
                  <w:rStyle w:val="tl2"/>
                </w:rPr>
              </w:sdtEndPr>
              <w:sdtContent>
                <w:r w:rsidR="00495C51" w:rsidRPr="004837F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495C51" w:rsidRPr="00C57852" w14:paraId="5BCFB52B" w14:textId="77777777" w:rsidTr="00EA4AFD">
        <w:trPr>
          <w:jc w:val="center"/>
        </w:trPr>
        <w:tc>
          <w:tcPr>
            <w:tcW w:w="1131" w:type="dxa"/>
            <w:vMerge/>
            <w:vAlign w:val="center"/>
          </w:tcPr>
          <w:p w14:paraId="6FF9CCC0" w14:textId="77777777" w:rsidR="00495C51" w:rsidRPr="00C57852" w:rsidRDefault="00495C51" w:rsidP="00495C51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2077" w:type="dxa"/>
            <w:vMerge/>
            <w:shd w:val="clear" w:color="auto" w:fill="FFFFFF" w:themeFill="background1"/>
            <w:vAlign w:val="center"/>
          </w:tcPr>
          <w:p w14:paraId="5D30D2E4" w14:textId="77777777" w:rsidR="00495C51" w:rsidRPr="0072495D" w:rsidRDefault="00495C51" w:rsidP="00495C51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</w:p>
        </w:tc>
        <w:tc>
          <w:tcPr>
            <w:tcW w:w="6429" w:type="dxa"/>
            <w:gridSpan w:val="3"/>
          </w:tcPr>
          <w:p w14:paraId="35175975" w14:textId="535CAA5F" w:rsidR="00495C51" w:rsidRPr="004837F0" w:rsidRDefault="00F65C8A" w:rsidP="00495C51">
            <w:pPr>
              <w:pStyle w:val="Zkladntext"/>
              <w:tabs>
                <w:tab w:val="center" w:pos="3160"/>
              </w:tabs>
              <w:rPr>
                <w:rStyle w:val="tl2"/>
                <w:rFonts w:asciiTheme="minorHAnsi" w:hAnsiTheme="minorHAnsi" w:cstheme="minorHAnsi"/>
              </w:rPr>
            </w:pPr>
            <w:sdt>
              <w:sdtPr>
                <w:rPr>
                  <w:rStyle w:val="tl2"/>
                  <w:rFonts w:asciiTheme="minorHAnsi" w:hAnsiTheme="minorHAnsi" w:cstheme="minorHAnsi"/>
                  <w:spacing w:val="-11"/>
                  <w:szCs w:val="20"/>
                </w:rPr>
                <w:id w:val="-830220137"/>
                <w:placeholder>
                  <w:docPart w:val="771816E6ED8143FC874E91D5BD67507B"/>
                </w:placeholder>
                <w:showingPlcHdr/>
                <w:comboBox>
                  <w:listItem w:displayText="RSO1.1 Rozvoj a rozšírenie výskumných a inovačných kapacít a využívania pokročilých technológií (EFRR)" w:value="RSO1.1 Rozvoj a rozšírenie výskumných a inovačných kapacít a využívania pokročilých technológií (EFRR)"/>
                  <w:listItem w:displayText="RSO1.2 Využívanie prínosov digitalizácie pre občanov, podniky, výskumné organizácie a orgány verejnej správy (EFRR)" w:value="RSO1.2 Využívanie prínosov digitalizácie pre občanov, podniky, výskumné organizácie a orgány verejnej správy (EFRR)"/>
                  <w:listItem w:displayText="RSO1.3 Posilnenie udržateľného rastu a konkurencieschopnosti MSP a tvorby pracovných miest v MSP, a to aj produktívnymi investíciami (EFRR)" w:value="RSO1.3 Posilnenie udržateľného rastu a konkurencieschopnosti MSP a tvorby pracovných miest v MSP, a to aj produktívnymi investíciami (EFRR)"/>
                  <w:listItem w:displayText="RSO1.4 Rozvoj zručností pre inteligentnú špecializáciu, priemyselnú transformáciu a podnikanie (EFRR)" w:value="RSO1.4 Rozvoj zručností pre inteligentnú špecializáciu, priemyselnú transformáciu a podnikanie (EFRR)"/>
                  <w:listItem w:displayText="RSO1.5 Zvyšovanie digitálnej pripojiteľnosti (EFRR)" w:value="RSO1.5 Zvyšovanie digitálnej pripojiteľnosti (EFRR)"/>
                  <w:listItem w:displayText="RSO1.6 Podpory investícií, ktoré prispievajú k cieľom Platformy strategických technológií pre Európu uvedeným v článku 2 nariadenia Európskeho parlamentu a Rady (EÚ) 2024/795 (EFRR)" w:value="RSO1.6 Podpory investícií, ktoré prispievajú k cieľom Platformy strategických technológií pre Európu uvedeným v článku 2 nariadenia Európskeho parlamentu a Rady (EÚ) 2024/795 (EFRR)"/>
                  <w:listItem w:displayText="RSO1.7 Posilnenie priemyselných kapacít s cieľom podporiť obranné spôsobilosti, pričom sa uprednostnia spôsobilosti dvojakého použitia (EFRR)" w:value="RSO1.7 Posilnenie priemyselných kapacít s cieľom podporiť obranné spôsobilosti, pričom sa uprednostnia spôsobilosti dvojakého použitia (EFRR)"/>
                  <w:listItem w:displayText="RSO2.1 Podpora energetickej efektívnosti a znižovania emisií skleníkových plynov (EFRR)" w:value="RSO2.1 Podpora energetickej efektívnosti a znižovania emisií skleníkových plynov (EFRR)"/>
                  <w:listItem w:displayText="RSO2.1 Podpora energetickej efektívnosti a znižovania emisií skleníkových plynov (KF)" w:value="RSO2.1 Podpora energetickej efektívnosti a znižovania emisií skleníkových plynov (KF)"/>
                  <w:listItem w:displayText="RSO2.2 Podpora energie z obnoviteľných zdrojov v súlade so smernicou (EÚ) 2018/2001 vrátane kritérií udržateľnosti, ktoré sú v nej stanovené (EFRR)" w:value="RSO2.2 Podpora energie z obnoviteľných zdrojov v súlade so smernicou (EÚ) 2018/2001 vrátane kritérií udržateľnosti, ktoré sú v nej stanovené (EFRR)"/>
                  <w:listItem w:displayText="RSO2.3 Vývoj inteligentných energetických systémov, sietí a uskladnenia mimo Transeurópskej energetickej siete (TEN-E) (EFRR)" w:value="RSO2.3 Vývoj inteligentných energetických systémov, sietí a uskladnenia mimo Transeurópskej energetickej siete (TEN-E) (EFRR)"/>
                  <w:listItem w:displayText="RSO2.4 Podpora adaptácie na zmenu klímy a prevencie rizika katastrof a odolnosti s prihliadnutím na ekosystémové prístupy (EFRR)" w:value="RSO2.4 Podpora adaptácie na zmenu klímy a prevencie rizika katastrof a odolnosti s prihliadnutím na ekosystémové prístupy (EFRR)"/>
                  <w:listItem w:displayText="RSO2.4 Podpora adaptácie na zmenu klímy a prevencie rizika katastrof a odolnosti s prihliadnutím na ekosystémové prístupy (KF)" w:value="RSO2.4 Podpora adaptácie na zmenu klímy a prevencie rizika katastrof a odolnosti s prihliadnutím na ekosystémové prístupy (KF)"/>
                  <w:listItem w:displayText="RSO2.5 Podpora bezpečného prístupu k vode, udržateľného vodného hospodárstva, vrátane integrovaného vodného hospodárstva, a odolnosti vodných zdrojov (EFRR)" w:value="RSO2.5 Podpora bezpečného prístupu k vode, udržateľného vodného hospodárstva, vrátane integrovaného vodného hospodárstva, a odolnosti vodných zdrojov (EFRR)"/>
                  <w:listItem w:displayText="RSO2.5 Podpora bezpečného prístupu k vode, udržateľného vodného hospodárstva, vrátane integrovaného vodného hospodárstva, a odolnosti vodných zdrojov (KF)" w:value="RSO2.5 Podpora bezpečného prístupu k vode, udržateľného vodného hospodárstva, vrátane integrovaného vodného hospodárstva, a odolnosti vodných zdrojov (KF)"/>
                  <w:listItem w:displayText="RSO2.6 Podpora prechodu na obehové hospodárstvo, ktoré efektívne využíva zdroje (EFRR)" w:value="RSO2.6 Podpora prechodu na obehové hospodárstvo, ktoré efektívne využíva zdroje (EFRR)"/>
                  <w:listItem w:displayText="RSO2.7 Posilnenie ochrany a zachovania prírody, biodiverzity a zelenej infraštruktúry, a to aj v mestských oblastiach, a zníženia všetkých foriem znečistenia (EFRR)" w:value="RSO2.7 Posilnenie ochrany a zachovania prírody, biodiverzity a zelenej infraštruktúry, a to aj v mestských oblastiach, a zníženia všetkých foriem znečistenia (EFRR)"/>
                  <w:listItem w:displayText="RSO2.7 Posilnenie ochrany a zachovania prírody, biodiverzity a zelenej infraštruktúry, a to aj v mestských oblastiach, a zníženie všetkých foriem znečistenia (KF)" w:value="RSO2.7 Posilnenie ochrany a zachovania prírody, biodiverzity a zelenej infraštruktúry, a to aj v mestských oblastiach, a zníženie všetkých foriem znečistenia (KF)"/>
                  <w:listItem w:displayText="RSO2.8 Podpora udržateľnej multimodálnej mestskej mobility ako súčasti prechodu na hospodárstvo s nulovou bilanciou uhlíka (EFRR)" w:value="RSO2.8 Podpora udržateľnej multimodálnej mestskej mobility ako súčasti prechodu na hospodárstvo s nulovou bilanciou uhlíka (EFRR)"/>
                  <w:listItem w:displayText="RSO2.8 Podpora udržateľnej multimodálnej mestskej mobility ako súčasti prechodu na hospodárstvo s nulovou bilanciou uhlíka (KF)" w:value="RSO2.8 Podpora udržateľnej multimodálnej mestskej mobility ako súčasti prechodu na hospodárstvo s nulovou bilanciou uhlíka (KF)"/>
                  <w:listItem w:displayText="RSO2.11 Podpora prístupu k cenovo dostupnému a udržateľnému bývaniu (EFRR)" w:value="RSO2.11 Podpora prístupu k cenovo dostupnému a udržateľnému bývaniu (EFRR)"/>
                  <w:listItem w:displayText="RSO2.11 Podpora prístupu k cenovo dostupnému a udržateľnému bývaniu (KF)" w:value="RSO2.11 Podpora prístupu k cenovo dostupnému a udržateľnému bývaniu (KF)"/>
                  <w:listItem w:displayText="RSO2.12 Podpora spojovacích vedení a súvisiacej prenosovej, distribučnej, skladovacej a podpornej infraštruktúry, ako aj ochrana kritickej energetickej infraštruktúry a zavádzanie nabíjacej infraštruktúry (EFRR)" w:value="RSO2.12 Podpora spojovacích vedení a súvisiacej prenosovej, distribučnej, skladovacej a podpornej infraštruktúry, ako aj ochrana kritickej energetickej infraštruktúry a zavádzanie nabíjacej infraštruktúry (EFRR)"/>
                  <w:listItem w:displayText="RSO3.1 Rozvoj udržateľnej, inteligentnej, bezpečnej a intermodálnej siete TEN-T odolnej proti zmene klímy (EFRR)" w:value="RSO3.1 Rozvoj udržateľnej, inteligentnej, bezpečnej a intermodálnej siete TEN-T odolnej proti zmene klímy (EFRR)"/>
                  <w:listItem w:displayText="RSO3.1 Rozvoj udržateľnej, inteligentnej, bezpečnej a intermodálnej siete TEN-T odolnej proti zmene klímy (KF)" w:value="RSO3.1 Rozvoj udržateľnej, inteligentnej, bezpečnej a intermodálnej siete TEN-T odolnej proti zmene klímy (KF)"/>
                  <w:listItem w:displayText="RSO3.2 Rozvoj a posilňovanie udržateľnej, inteligentnej a intermodálnej vnútroštátnej, regionálnej a miestnej mobility odolnej proti zmene klímy vrátane zlepšeného prístupu k TEN-T a cezhraničnej mobility (EFRR)" w:value="RSO3.2 Rozvoj a posilňovanie udržateľnej, inteligentnej a intermodálnej vnútroštátnej, regionálnej a miestnej mobility odolnej proti zmene klímy vrátane zlepšeného prístupu k TEN-T a cezhraničnej mobility (EFRR)"/>
                  <w:listItem w:displayText="RSO3.3 Rozvoj odolnej obrannej infraštruktúry, pričom sa uprednostní infraštruktúra dvojakého použitia, vrátane podpory vojenskej mobility v Únii, ako aj zlepšovanie civilnej pripravenosti (EFRR)" w:value="RSO3.3 Rozvoj odolnej obrannej infraštruktúry, pričom sa uprednostní infraštruktúra dvojakého použitia, vrátane podpory vojenskej mobility v Únii, ako aj zlepšovanie civilnej pripravenosti (EFRR)"/>
                  <w:listItem w:displayText="RSO3.3 Rozvoj odolnej obrannej infraštruktúry, pričom sa uprednostní infraštruktúra dvojakého použitia, vrátane podpory vojenskej mobility v Únii, ako aj zlepšovanie civilnej pripravenosti (KF)" w:value="RSO3.3 Rozvoj odolnej obrannej infraštruktúry, pričom sa uprednostní infraštruktúra dvojakého použitia, vrátane podpory vojenskej mobility v Únii, ako aj zlepšovanie civilnej pripravenosti (KF)"/>
                  <w:listItem w:displayText="RSO4.1 Zvyšovanie účinnosti a inkluzívnosti trhov práce a prístupu ku kvalitnému zamestnaniu rozvíjaním sociálnej infraštruktúry a podporou sociálneho hospodárstva (EFRR)" w:value="RSO4.1 Zvyšovanie účinnosti a inkluzívnosti trhov práce a prístupu ku kvalitnému zamestnaniu rozvíjaním sociálnej infraštruktúry a podporou sociálneho hospodárstva (EFRR)"/>
                  <w:listItem w:displayText="RSO4.2 Zlepšenie rovného prístupu k inkluzívnym a kvalitným službám v oblasti vzdelávania, odbornej prípravy a celoživotného vzdelávania rozvíjaním dostupnej infraštruk. vrátane posilňovania odolnosti pre dištančné a online vzd. a odbornú prípravu (EFRR)" w:value="RSO4.2 Zlepšenie rovného prístupu k inkluzívnym a kvalitným službám v oblasti vzdelávania, odbornej prípravy a celoživotného vzdelávania rozvíjaním dostupnej infraštruk. vrátane posilňovania odolnosti pre dištančné a online vzd. a odbornú prípravu (EFRR)"/>
                  <w:listItem w:displayText="RSO4.3 Podpora sociálno-ekonomického začlenenia marginalizovaných komunít, domácností s nízkym príjmom a znevýhodnených skupín vrátane osôb s osobitnými potrebami prostredníctvom integrovaných akcií vrátane bývania a sociálnych služieb (EFRR)" w:value="RSO4.3 Podpora sociálno-ekonomického začlenenia marginalizovaných komunít, domácností s nízkym príjmom a znevýhodnených skupín vrátane osôb s osobitnými potrebami prostredníctvom integrovaných akcií vrátane bývania a sociálnych služieb (EFRR)"/>
                  <w:listItem w:displayText="RSO4.5 Zabezpečenia rovného prístupu k zdravotnej starostlivosti a zvýšenie odolnosti systémov zdravotnej starostlivosti vrátane primárnej starostlivosti, a podpory prechodu z inštitucionálnej starostlivosti na rodinnú a komunitnú starostlivosť (EFRR)" w:value="RSO4.5 Zabezpečenia rovného prístupu k zdravotnej starostlivosti a zvýšenie odolnosti systémov zdravotnej starostlivosti vrátane primárnej starostlivosti, a podpory prechodu z inštitucionálnej starostlivosti na rodinnú a komunitnú starostlivosť (EFRR)"/>
                  <w:listItem w:displayText="RSO4.6 Posilnenie úlohy kultúry a udržateľného cestovného ruchu v oblasti hospodárskeho rozvoja, sociálneho začlenenia a sociálnej inovácie (EFRR)" w:value="RSO4.6 Posilnenie úlohy kultúry a udržateľného cestovného ruchu v oblasti hospodárskeho rozvoja, sociálneho začlenenia a sociálnej inovácie (EFRR)"/>
                  <w:listItem w:displayText="RSO4.7 Podpora prístupu k cenovo dostupnému a udržateľnému bývaniu (EFRR)" w:value="RSO4.7 Podpora prístupu k cenovo dostupnému a udržateľnému bývaniu (EFRR)"/>
                  <w:listItem w:displayText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 w:value="ESO4.1 Zlepšenie prístupu k zamestnaniu a aktivačným opatreniam pre všetkých uchádzačov o zamestnanie, predovšetkým mladých ľudí, a to najmä vykonávaním záruky pre mladých ľudí, pre dlhodobo nezamestnaných a znevýhodnené skupiny na trhu práce a neaktívne.."/>
                  <w:listItem w:displayText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 w:value="ESO4.2 Modernizácia inštitúcií a služieb trhu práce s cieľom posúdiť a predvídať potreby v oblasti zručností a zabezpečiť včasnú a cielenú pomoc a podporu v záujme zosúladenia ponuky s potrebami trhu práce, ako aj pri prechodoch medzi zamestnaniami a mob.."/>
                  <w:listItem w:displayText="ESO4.3 Podpora rodovo vyváženej účasti na trhu práce, rovnakých pracovných podmienok a lepšej rovnováhy medzi pracovným a súkromným životom vrátane prístupu k cenovo dostupnej starostlivosti o deti a odkázané osoby" w:value="ESO4.3 Podpora rodovo vyváženej účasti na trhu práce, rovnakých pracovných podmienok a lepšej rovnováhy medzi pracovným a súkromným životom vrátane prístupu k cenovo dostupnej starostlivosti o deti a odkázané osoby"/>
                  <w:listItem w:displayText="ESO4.4 Podpora adaptácie pracovníkov, podnikov a podnikateľov na zmeny, ako aj aktívneho a zdravého starnutia a zdravého a vhodne prispôsobeného pracovného prostredia, ktoré rieši zdravotné riziká" w:value="ESO4.4 Podpora adaptácie pracovníkov, podnikov a podnikateľov na zmeny, ako aj aktívneho a zdravého starnutia a zdravého a vhodne prispôsobeného pracovného prostredia, ktoré rieši zdravotné riziká"/>
                  <w:listItem w:displayText="ESO4.5 Zvýšenie kvality, inkluzívnosti a účinnosti systémov vzdelávania a odbornej prípravy, ako aj ich relevantnosti z hľadiska trhu práce okrem iného prostredníctvom potvrdzovania výsledkov neformálneho vzdelávania a informálneho učenia sa s cieľom pod.." w:value="ESO4.5 Zvýšenie kvality, inkluzívnosti a účinnosti systémov vzdelávania a odbornej prípravy, ako aj ich relevantnosti z hľadiska trhu práce okrem iného prostredníctvom potvrdzovania výsledkov neformálneho vzdelávania a informálneho učenia sa s cieľom pod.."/>
                  <w:listItem w:displayText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 w:value="ESO4.6 Podpora rovného prístupu, a to najmä znevýhodnených skupín, ku kvalitnému a inkluzívnemu vzdelávaniu a odbornej príprave a podpora ich úspešného ukončenia, počnúc vzdelávaním a starostlivosťou v ranom detstve cez všeobecné a odborné vzdelávanie..."/>
                  <w:listItem w:displayText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 w:value="ESO4.7 Podpora celoživotného vzdelávania, najmä flexibilných príležitostí na zvyšovanie kvalifikácie a rekvalifikáciu pre všetkých s prihliadnutím na podnikateľské a digitálne zručnosti, lepšie predvídanie zmien a nových požiadaviek na zručnosti na zákl..."/>
                  <w:listItem w:displayText="ESO4.8 Podpora aktívneho začlenenia s cieľom podporovať rovnosť príležitostí, nediskrimináciu a aktívnu účasť a zlepšenie zamestnateľnosti, najmä v prípade znevýhodnených skupín" w:value="ESO4.8 Podpora aktívneho začlenenia s cieľom podporovať rovnosť príležitostí, nediskrimináciu a aktívnu účasť a zlepšenie zamestnateľnosti, najmä v prípade znevýhodnených skupín"/>
                  <w:listItem w:displayText="ESO4.9 Podpora sociálno-ekonomickej integrácie štátnych príslušníkov tretích krajín vrátane migrantov" w:value="ESO4.9 Podpora sociálno-ekonomickej integrácie štátnych príslušníkov tretích krajín vrátane migrantov"/>
                  <w:listItem w:displayText="ESO4.10 Podpora sociálno-ekonomickej integrácie marginalizovaných komunít, ako sú napríklad Rómovia" w:value="ESO4.10 Podpora sociálno-ekonomickej integrácie marginalizovaných komunít, ako sú napríklad Rómovia"/>
                  <w:listItem w:displayText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 w:value="ESO4.11 Zlepšovanie rovného a včasného prístupu ku kvalitným, udržateľným a cenovo dostupným službám vrátane služieb, ktoré podporujú prístup k bývaniu a individualizovanú starostlivosť vrátane zdravotnej starostlivosti; modernizácia systémov sociálnej..."/>
                  <w:listItem w:displayText="ESO4.12 Podpora sociálnej integrácie osôb ohrozených chudobou alebo sociálnym vylúčením vrátane najodkázanejších osôb a detí" w:value="ESO4.12 Podpora sociálnej integrácie osôb ohrozených chudobou alebo sociálnym vylúčením vrátane najodkázanejších osôb a detí"/>
                  <w:listItem w:displayText="ESO4.13 Riešenie materiálnej deprivácie prostredníctvom potravinovej a/alebo základnej materiálnej pomoci pre najodkázanejšie osoby vrátane detí a zabezpečenie sprievodných opatrení podporujúcich ich sociálne začlenenie" w:value="ESO4.13 Riešenie materiálnej deprivácie prostredníctvom potravinovej a/alebo základnej materiálnej pomoci pre najodkázanejšie osoby vrátane detí a zabezpečenie sprievodných opatrení podporujúcich ich sociálne začlenenie"/>
                  <w:listItem w:displayText="RSO5.1 Podpora integrovaného a inkluzívneho sociálneho, hospodárskeho a environmentálneho rozvoja, kultúry, prírodného dedičstva, udržateľného cestovného ruchu a bezpečnosti v mestských oblastiach (EFRR)" w:value="RSO5.1 Podpora integrovaného a inkluzívneho sociálneho, hospodárskeho a environmentálneho rozvoja, kultúry, prírodného dedičstva, udržateľného cestovného ruchu a bezpečnosti v mestských oblastiach (EFRR)"/>
                  <w:listItem w:displayText="RSO5.2 Podpora integrovaného a inkluzívneho sociálneho, hospodárskeho a environmentálneho miestneho rozvoja, kultúry, prírodného dedičstva, udržateľného cestovného ruchu a bezpečnosti v iných ako mestských oblastiach (EFRR)" w:value="RSO5.2 Podpora integrovaného a inkluzívneho sociálneho, hospodárskeho a environmentálneho miestneho rozvoja, kultúry, prírodného dedičstva, udržateľného cestovného ruchu a bezpečnosti v iných ako mestských oblastiach (EFRR)"/>
                  <w:listItem w:displayText="RSO5.3 Podpora integrovaného územného rozvoja na základe prístupu k cenovo dostupnému a udržateľnému bývaniu na všetkých typoch území (EFRR)" w:value="RSO5.3 Podpora integrovaného územného rozvoja na základe prístupu k cenovo dostupnému a udržateľnému bývaniu na všetkých typoch území (EFRR)"/>
                  <w:listItem w:displayText="RSO5.4 Zabezpečenia civilnej pripravenosti na všetkých typoch území (EFRR)" w:value="RSO5.4 Zabezpečenia civilnej pripravenosti na všetkých typoch území (EFRR)"/>
                  <w:listItem w:displayText="TSO7.1 Technická pomoc EFRR" w:value="TSO7.1 Technická pomoc EFRR"/>
                  <w:listItem w:displayText="TSO7.2 Technická pomoc Kohézny fond" w:value="TSO7.2 Technická pomoc Kohézny fond"/>
                  <w:listItem w:displayText="TSO7.3 Technická pomoc ESF+" w:value="TSO7.3 Technická pomoc ESF+"/>
                  <w:listItem w:displayText="TSO7.4 Technická pomoc FST" w:value="TSO7.4 Technická pomoc FST"/>
                  <w:listItem w:displayText="JSO8.1 Umožnenie regiónom a ľuďom riešiť dôsledky v soc., hosp. a environ. oblasti, ako aj v oblasti zamestnanosti spôsobené transformáciou smerom k energet. klim. cieľom Únie na rok 2030 a k dosiahnutiu cieľa klim. neutrál. hosp. Únie do roku 2050.. (FST)" w:value="JSO8.1 Umožnenie regiónom a ľuďom riešiť dôsledky v soc., hosp. a environ. oblasti, ako aj v oblasti zamestnanosti spôsobené transformáciou smerom k energet. klim. cieľom Únie na rok 2030 a k dosiahnutiu cieľa klim. neutrál. hosp. Únie do roku 2050.. (FST)"/>
                </w:comboBox>
              </w:sdtPr>
              <w:sdtEndPr>
                <w:rPr>
                  <w:rStyle w:val="tl2"/>
                </w:rPr>
              </w:sdtEndPr>
              <w:sdtContent>
                <w:r w:rsidR="00495C51" w:rsidRPr="004837F0">
                  <w:rPr>
                    <w:rStyle w:val="tl2"/>
                    <w:rFonts w:asciiTheme="minorHAnsi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495C51" w:rsidRPr="00C57852" w14:paraId="3E74FFD7" w14:textId="77777777" w:rsidTr="005122B1">
        <w:trPr>
          <w:jc w:val="center"/>
        </w:trPr>
        <w:tc>
          <w:tcPr>
            <w:tcW w:w="1131" w:type="dxa"/>
            <w:vAlign w:val="center"/>
          </w:tcPr>
          <w:p w14:paraId="4A662064" w14:textId="79F359AD" w:rsidR="00495C51" w:rsidRPr="00C57852" w:rsidRDefault="00495C51" w:rsidP="00495C51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8</w:t>
            </w:r>
          </w:p>
        </w:tc>
        <w:tc>
          <w:tcPr>
            <w:tcW w:w="2077" w:type="dxa"/>
            <w:shd w:val="clear" w:color="auto" w:fill="FFFFFF" w:themeFill="background1"/>
            <w:vAlign w:val="center"/>
          </w:tcPr>
          <w:p w14:paraId="4AF57A23" w14:textId="77777777" w:rsidR="00495C51" w:rsidRPr="0072495D" w:rsidRDefault="00495C51" w:rsidP="00495C51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 w:rsidRPr="0072495D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Relevantnosť fondu</w:t>
            </w:r>
          </w:p>
        </w:tc>
        <w:tc>
          <w:tcPr>
            <w:tcW w:w="6429" w:type="dxa"/>
            <w:gridSpan w:val="3"/>
            <w:vAlign w:val="center"/>
          </w:tcPr>
          <w:p w14:paraId="465B7A70" w14:textId="77777777" w:rsidR="00495C51" w:rsidRPr="00C57852" w:rsidRDefault="00F65C8A" w:rsidP="00495C51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Fonts w:asciiTheme="minorHAnsi" w:hAnsiTheme="minorHAnsi" w:cstheme="minorHAnsi"/>
                  <w:spacing w:val="-11"/>
                  <w:sz w:val="20"/>
                  <w:szCs w:val="20"/>
                </w:rPr>
                <w:id w:val="-982854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5C51" w:rsidRPr="00C57852">
                  <w:rPr>
                    <w:rFonts w:ascii="Segoe UI Symbol" w:eastAsia="MS Gothic" w:hAnsi="Segoe UI Symbol" w:cs="Segoe UI Symbol"/>
                    <w:spacing w:val="-11"/>
                    <w:sz w:val="20"/>
                    <w:szCs w:val="20"/>
                  </w:rPr>
                  <w:t>☐</w:t>
                </w:r>
              </w:sdtContent>
            </w:sdt>
            <w:r w:rsidR="00495C51" w:rsidRPr="00C57852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EFRR  </w:t>
            </w:r>
            <w:sdt>
              <w:sdtPr>
                <w:rPr>
                  <w:rFonts w:asciiTheme="minorHAnsi" w:hAnsiTheme="minorHAnsi" w:cstheme="minorHAnsi"/>
                  <w:spacing w:val="-11"/>
                  <w:sz w:val="20"/>
                  <w:szCs w:val="20"/>
                </w:rPr>
                <w:id w:val="1489433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5C51" w:rsidRPr="00C57852">
                  <w:rPr>
                    <w:rFonts w:ascii="Segoe UI Symbol" w:eastAsia="MS Gothic" w:hAnsi="Segoe UI Symbol" w:cs="Segoe UI Symbol"/>
                    <w:spacing w:val="-11"/>
                    <w:sz w:val="20"/>
                    <w:szCs w:val="20"/>
                  </w:rPr>
                  <w:t>☐</w:t>
                </w:r>
              </w:sdtContent>
            </w:sdt>
            <w:r w:rsidR="00495C51" w:rsidRPr="00C57852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KF  </w:t>
            </w:r>
            <w:sdt>
              <w:sdtPr>
                <w:rPr>
                  <w:rFonts w:asciiTheme="minorHAnsi" w:hAnsiTheme="minorHAnsi" w:cstheme="minorHAnsi"/>
                  <w:spacing w:val="-11"/>
                  <w:sz w:val="20"/>
                  <w:szCs w:val="20"/>
                </w:rPr>
                <w:id w:val="-656914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5C51" w:rsidRPr="00C57852">
                  <w:rPr>
                    <w:rFonts w:ascii="Segoe UI Symbol" w:eastAsia="MS Gothic" w:hAnsi="Segoe UI Symbol" w:cs="Segoe UI Symbol"/>
                    <w:spacing w:val="-11"/>
                    <w:sz w:val="20"/>
                    <w:szCs w:val="20"/>
                  </w:rPr>
                  <w:t>☐</w:t>
                </w:r>
              </w:sdtContent>
            </w:sdt>
            <w:r w:rsidR="00495C51" w:rsidRPr="00C57852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FST  </w:t>
            </w:r>
            <w:sdt>
              <w:sdtPr>
                <w:rPr>
                  <w:rFonts w:asciiTheme="minorHAnsi" w:hAnsiTheme="minorHAnsi" w:cstheme="minorHAnsi"/>
                  <w:spacing w:val="-11"/>
                  <w:sz w:val="20"/>
                  <w:szCs w:val="20"/>
                </w:rPr>
                <w:id w:val="-554236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5C51">
                  <w:rPr>
                    <w:rFonts w:ascii="MS Gothic" w:eastAsia="MS Gothic" w:hAnsi="MS Gothic" w:cstheme="minorHAnsi" w:hint="eastAsia"/>
                    <w:spacing w:val="-11"/>
                    <w:sz w:val="20"/>
                    <w:szCs w:val="20"/>
                  </w:rPr>
                  <w:t>☐</w:t>
                </w:r>
              </w:sdtContent>
            </w:sdt>
            <w:r w:rsidR="00495C51" w:rsidRPr="00C57852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ESF+</w:t>
            </w:r>
          </w:p>
        </w:tc>
      </w:tr>
      <w:tr w:rsidR="00495C51" w:rsidRPr="00C57852" w14:paraId="57865BC0" w14:textId="77777777" w:rsidTr="005122B1">
        <w:trPr>
          <w:jc w:val="center"/>
        </w:trPr>
        <w:tc>
          <w:tcPr>
            <w:tcW w:w="1131" w:type="dxa"/>
            <w:vAlign w:val="center"/>
          </w:tcPr>
          <w:p w14:paraId="47FD2E9D" w14:textId="1BB7E95B" w:rsidR="00495C51" w:rsidRDefault="00495C51" w:rsidP="00495C51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9</w:t>
            </w:r>
          </w:p>
        </w:tc>
        <w:tc>
          <w:tcPr>
            <w:tcW w:w="2077" w:type="dxa"/>
            <w:shd w:val="clear" w:color="auto" w:fill="FFFFFF" w:themeFill="background1"/>
            <w:vAlign w:val="center"/>
          </w:tcPr>
          <w:p w14:paraId="56F21BAB" w14:textId="1A3D733A" w:rsidR="00495C51" w:rsidRPr="0072495D" w:rsidRDefault="00495C51" w:rsidP="00495C51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 w:rsidRPr="00545EC2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Odôvodnenie vytvorenia</w:t>
            </w:r>
          </w:p>
        </w:tc>
        <w:tc>
          <w:tcPr>
            <w:tcW w:w="6429" w:type="dxa"/>
            <w:gridSpan w:val="3"/>
            <w:vAlign w:val="center"/>
          </w:tcPr>
          <w:p w14:paraId="211C58C6" w14:textId="77777777" w:rsidR="00495C51" w:rsidRDefault="00495C51" w:rsidP="00495C51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</w:tr>
      <w:tr w:rsidR="00495C51" w:rsidRPr="00C57852" w14:paraId="11714AA2" w14:textId="77777777" w:rsidTr="005122B1">
        <w:trPr>
          <w:jc w:val="center"/>
        </w:trPr>
        <w:tc>
          <w:tcPr>
            <w:tcW w:w="1131" w:type="dxa"/>
            <w:vAlign w:val="center"/>
          </w:tcPr>
          <w:p w14:paraId="2987BD30" w14:textId="07C42F9F" w:rsidR="00495C51" w:rsidRPr="00C57852" w:rsidRDefault="00495C51" w:rsidP="00495C51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10</w:t>
            </w:r>
          </w:p>
        </w:tc>
        <w:tc>
          <w:tcPr>
            <w:tcW w:w="2077" w:type="dxa"/>
            <w:shd w:val="clear" w:color="auto" w:fill="FFFFFF" w:themeFill="background1"/>
            <w:vAlign w:val="center"/>
          </w:tcPr>
          <w:p w14:paraId="5771AB5C" w14:textId="77777777" w:rsidR="00495C51" w:rsidRPr="0072495D" w:rsidRDefault="00495C51" w:rsidP="00495C51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72495D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Zber údajov</w:t>
            </w:r>
          </w:p>
        </w:tc>
        <w:tc>
          <w:tcPr>
            <w:tcW w:w="6429" w:type="dxa"/>
            <w:gridSpan w:val="3"/>
            <w:vAlign w:val="center"/>
          </w:tcPr>
          <w:p w14:paraId="3EC7C8DB" w14:textId="204505DE" w:rsidR="00495C51" w:rsidRPr="00FA5633" w:rsidRDefault="00495C51" w:rsidP="00495C51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Monitorovacia správa projektu</w:t>
            </w:r>
            <w:r w:rsidDel="00FE237D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 xml:space="preserve"> </w:t>
            </w:r>
          </w:p>
        </w:tc>
      </w:tr>
      <w:tr w:rsidR="00495C51" w:rsidRPr="00C57852" w:rsidDel="00784B8D" w14:paraId="3B1C9562" w14:textId="77777777" w:rsidTr="005122B1">
        <w:trPr>
          <w:jc w:val="center"/>
        </w:trPr>
        <w:tc>
          <w:tcPr>
            <w:tcW w:w="1131" w:type="dxa"/>
            <w:vAlign w:val="center"/>
          </w:tcPr>
          <w:p w14:paraId="4248F0DC" w14:textId="12FED1BE" w:rsidR="00495C51" w:rsidRPr="00C57852" w:rsidDel="00784B8D" w:rsidRDefault="00495C51" w:rsidP="00495C51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11</w:t>
            </w:r>
          </w:p>
        </w:tc>
        <w:tc>
          <w:tcPr>
            <w:tcW w:w="2077" w:type="dxa"/>
            <w:shd w:val="clear" w:color="auto" w:fill="FFFFFF" w:themeFill="background1"/>
            <w:vAlign w:val="center"/>
          </w:tcPr>
          <w:p w14:paraId="034CF0C2" w14:textId="77777777" w:rsidR="00495C51" w:rsidRPr="0072495D" w:rsidDel="00784B8D" w:rsidRDefault="00495C51" w:rsidP="00495C51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 w:rsidRPr="0072495D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Čas plnenia</w:t>
            </w:r>
          </w:p>
        </w:tc>
        <w:tc>
          <w:tcPr>
            <w:tcW w:w="6429" w:type="dxa"/>
            <w:gridSpan w:val="3"/>
            <w:vAlign w:val="center"/>
          </w:tcPr>
          <w:p w14:paraId="1EA500CE" w14:textId="6892924C" w:rsidR="00495C51" w:rsidRPr="00FA5633" w:rsidDel="00784B8D" w:rsidRDefault="00F65C8A" w:rsidP="00495C51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Style w:val="tl2"/>
                  <w:rFonts w:asciiTheme="minorHAnsi" w:eastAsia="Verdana" w:hAnsiTheme="minorHAnsi" w:cstheme="minorHAnsi"/>
                  <w:spacing w:val="-11"/>
                  <w:szCs w:val="20"/>
                </w:rPr>
                <w:alias w:val="Čas plnenia"/>
                <w:tag w:val="Čas plnenia"/>
                <w:id w:val="372814006"/>
                <w:placeholder>
                  <w:docPart w:val="E678650E5A9F4C0C8343A272B69D69B4"/>
                </w:placeholder>
                <w:comboBox>
                  <w:listItem w:displayText="Vyberte položku." w:value="Vyberte položku."/>
                  <w:listItem w:displayText="K - koniec realizácie projektu" w:value="K - koniec realizácie projektu"/>
                  <w:listItem w:displayText="U - v rámci udržateľnosti projektu" w:value="U - v rámci udržateľnosti projektu"/>
                </w:comboBox>
              </w:sdtPr>
              <w:sdtEndPr>
                <w:rPr>
                  <w:rStyle w:val="Predvolenpsmoodseku"/>
                  <w:sz w:val="24"/>
                  <w:lang w:eastAsia="ar-SA" w:bidi="ar-SA"/>
                </w:rPr>
              </w:sdtEndPr>
              <w:sdtContent>
                <w:r w:rsidR="00495C51">
                  <w:rPr>
                    <w:rStyle w:val="tl2"/>
                    <w:rFonts w:asciiTheme="minorHAnsi" w:eastAsia="Verdana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495C51" w:rsidRPr="00C57852" w:rsidDel="00784B8D" w14:paraId="63487023" w14:textId="77777777" w:rsidTr="005122B1">
        <w:trPr>
          <w:jc w:val="center"/>
        </w:trPr>
        <w:tc>
          <w:tcPr>
            <w:tcW w:w="1131" w:type="dxa"/>
            <w:vAlign w:val="center"/>
          </w:tcPr>
          <w:p w14:paraId="529BB36E" w14:textId="5A034AD2" w:rsidR="00495C51" w:rsidRPr="00C57852" w:rsidDel="00784B8D" w:rsidRDefault="00495C51" w:rsidP="00495C51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12</w:t>
            </w:r>
          </w:p>
        </w:tc>
        <w:tc>
          <w:tcPr>
            <w:tcW w:w="2077" w:type="dxa"/>
            <w:shd w:val="clear" w:color="auto" w:fill="FFFFFF" w:themeFill="background1"/>
            <w:vAlign w:val="center"/>
          </w:tcPr>
          <w:p w14:paraId="3A3F7334" w14:textId="4B5A32A1" w:rsidR="00495C51" w:rsidRPr="0072495D" w:rsidDel="00784B8D" w:rsidRDefault="00495C51" w:rsidP="00495C51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 w:rsidRPr="0072495D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Evidencia hodnôt rozdelená podľa pohlavia</w:t>
            </w:r>
          </w:p>
        </w:tc>
        <w:tc>
          <w:tcPr>
            <w:tcW w:w="6429" w:type="dxa"/>
            <w:gridSpan w:val="3"/>
            <w:vAlign w:val="center"/>
          </w:tcPr>
          <w:p w14:paraId="2F336F7A" w14:textId="18015143" w:rsidR="00495C51" w:rsidRPr="00FA5633" w:rsidDel="00784B8D" w:rsidRDefault="00F65C8A" w:rsidP="00495C51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sdt>
              <w:sdtPr>
                <w:rPr>
                  <w:rStyle w:val="tl2"/>
                  <w:rFonts w:asciiTheme="minorHAnsi" w:eastAsia="Verdana" w:hAnsiTheme="minorHAnsi" w:cstheme="minorHAnsi"/>
                  <w:spacing w:val="-11"/>
                  <w:szCs w:val="20"/>
                </w:rPr>
                <w:alias w:val="Čas plnenia"/>
                <w:tag w:val="Čas plnenia"/>
                <w:id w:val="-959565835"/>
                <w:placeholder>
                  <w:docPart w:val="C3FC6EC8B5124C539C77F2828FC40267"/>
                </w:placeholder>
                <w:comboBox>
                  <w:listItem w:displayText="Vyberte položku." w:value="Vyberte položku."/>
                  <w:listItem w:displayText="áno (muži/ženy)" w:value="áno (muži/ženy)"/>
                  <w:listItem w:displayText="nie" w:value="nie"/>
                </w:comboBox>
              </w:sdtPr>
              <w:sdtEndPr>
                <w:rPr>
                  <w:rStyle w:val="Predvolenpsmoodseku"/>
                  <w:sz w:val="24"/>
                  <w:lang w:eastAsia="ar-SA" w:bidi="ar-SA"/>
                </w:rPr>
              </w:sdtEndPr>
              <w:sdtContent>
                <w:r w:rsidR="00495C51">
                  <w:rPr>
                    <w:rStyle w:val="tl2"/>
                    <w:rFonts w:asciiTheme="minorHAnsi" w:eastAsia="Verdana" w:hAnsiTheme="minorHAnsi" w:cstheme="minorHAnsi"/>
                    <w:spacing w:val="-11"/>
                    <w:szCs w:val="20"/>
                  </w:rPr>
                  <w:t>Vyberte položku.</w:t>
                </w:r>
              </w:sdtContent>
            </w:sdt>
          </w:p>
        </w:tc>
      </w:tr>
      <w:tr w:rsidR="00495C51" w:rsidRPr="00C57852" w14:paraId="2B2CD631" w14:textId="2030D072" w:rsidTr="005122B1">
        <w:trPr>
          <w:trHeight w:val="85"/>
          <w:jc w:val="center"/>
        </w:trPr>
        <w:tc>
          <w:tcPr>
            <w:tcW w:w="1131" w:type="dxa"/>
            <w:vAlign w:val="center"/>
          </w:tcPr>
          <w:p w14:paraId="6D02E03B" w14:textId="0597396E" w:rsidR="00495C51" w:rsidRPr="00C57852" w:rsidRDefault="00495C51" w:rsidP="00495C51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13</w:t>
            </w:r>
          </w:p>
        </w:tc>
        <w:tc>
          <w:tcPr>
            <w:tcW w:w="2077" w:type="dxa"/>
            <w:shd w:val="clear" w:color="auto" w:fill="FFFFFF" w:themeFill="background1"/>
            <w:vAlign w:val="center"/>
          </w:tcPr>
          <w:p w14:paraId="22611865" w14:textId="6F6FB20C" w:rsidR="00495C51" w:rsidRPr="0072495D" w:rsidRDefault="00495C51" w:rsidP="00495C51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72495D"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Typ výpočtu</w:t>
            </w:r>
          </w:p>
        </w:tc>
        <w:sdt>
          <w:sdtPr>
            <w:rPr>
              <w:rStyle w:val="tl2"/>
              <w:rFonts w:asciiTheme="minorHAnsi" w:eastAsia="Verdana" w:hAnsiTheme="minorHAnsi" w:cstheme="minorHAnsi"/>
              <w:spacing w:val="-11"/>
              <w:szCs w:val="20"/>
            </w:rPr>
            <w:id w:val="-671879898"/>
            <w:placeholder>
              <w:docPart w:val="3423F3EDBD2D4BE18BECD3687CB9E420"/>
            </w:placeholder>
            <w:comboBox>
              <w:listItem w:displayText="súčet" w:value="súčet"/>
              <w:listItem w:displayText="minimálna hodnota" w:value="minimálna hodnota"/>
              <w:listItem w:displayText="maximálna hodnota" w:value="maximálna hodnota"/>
              <w:listItem w:displayText="priemer" w:value="priemer"/>
            </w:comboBox>
          </w:sdtPr>
          <w:sdtEndPr>
            <w:rPr>
              <w:rStyle w:val="Predvolenpsmoodseku"/>
              <w:sz w:val="24"/>
              <w:lang w:eastAsia="ar-SA" w:bidi="ar-SA"/>
            </w:rPr>
          </w:sdtEndPr>
          <w:sdtContent>
            <w:tc>
              <w:tcPr>
                <w:tcW w:w="6429" w:type="dxa"/>
                <w:gridSpan w:val="3"/>
                <w:vAlign w:val="center"/>
              </w:tcPr>
              <w:p w14:paraId="01F18FF8" w14:textId="19535306" w:rsidR="00495C51" w:rsidRPr="00FA5633" w:rsidRDefault="00495C51" w:rsidP="00495C51">
                <w:pPr>
                  <w:pStyle w:val="Zkladntext"/>
                  <w:rPr>
                    <w:rFonts w:asciiTheme="minorHAnsi" w:hAnsiTheme="minorHAnsi" w:cstheme="minorHAnsi"/>
                    <w:spacing w:val="-11"/>
                    <w:sz w:val="20"/>
                    <w:szCs w:val="20"/>
                    <w:lang w:eastAsia="ar-SA" w:bidi="ar-SA"/>
                  </w:rPr>
                </w:pPr>
                <w:r w:rsidDel="00553188">
                  <w:rPr>
                    <w:rStyle w:val="tl2"/>
                    <w:rFonts w:asciiTheme="minorHAnsi" w:eastAsia="Verdana" w:hAnsiTheme="minorHAnsi" w:cstheme="minorHAnsi"/>
                    <w:spacing w:val="-11"/>
                    <w:szCs w:val="20"/>
                  </w:rPr>
                  <w:t>Vyberte položku.</w:t>
                </w:r>
                <w:r>
                  <w:rPr>
                    <w:rFonts w:asciiTheme="minorHAnsi" w:eastAsia="Verdana" w:hAnsiTheme="minorHAnsi" w:cstheme="minorHAnsi"/>
                    <w:spacing w:val="-11"/>
                    <w:szCs w:val="20"/>
                    <w:lang w:eastAsia="ar-SA" w:bidi="ar-SA"/>
                  </w:rPr>
                  <w:t xml:space="preserve"> </w:t>
                </w:r>
              </w:p>
            </w:tc>
          </w:sdtContent>
        </w:sdt>
      </w:tr>
      <w:tr w:rsidR="00495C51" w:rsidRPr="00C57852" w:rsidDel="00784B8D" w14:paraId="0B66D773" w14:textId="77777777" w:rsidTr="005122B1">
        <w:trPr>
          <w:jc w:val="center"/>
        </w:trPr>
        <w:tc>
          <w:tcPr>
            <w:tcW w:w="1131" w:type="dxa"/>
            <w:vAlign w:val="center"/>
          </w:tcPr>
          <w:p w14:paraId="522491E8" w14:textId="24F87139" w:rsidR="00495C51" w:rsidRPr="00C57852" w:rsidRDefault="00495C51" w:rsidP="00495C51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14</w:t>
            </w:r>
          </w:p>
        </w:tc>
        <w:tc>
          <w:tcPr>
            <w:tcW w:w="2077" w:type="dxa"/>
            <w:vAlign w:val="center"/>
          </w:tcPr>
          <w:p w14:paraId="5FFE46D9" w14:textId="77777777" w:rsidR="00495C51" w:rsidRPr="0072495D" w:rsidRDefault="00495C51" w:rsidP="00495C51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 w:rsidRPr="0072495D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Vecný gestor</w:t>
            </w:r>
          </w:p>
        </w:tc>
        <w:tc>
          <w:tcPr>
            <w:tcW w:w="6429" w:type="dxa"/>
            <w:gridSpan w:val="3"/>
            <w:vAlign w:val="center"/>
          </w:tcPr>
          <w:p w14:paraId="38F0DD4E" w14:textId="77777777" w:rsidR="00495C51" w:rsidRPr="00FA5633" w:rsidRDefault="00495C51" w:rsidP="00495C51">
            <w:pPr>
              <w:pStyle w:val="Zkladntext"/>
              <w:rPr>
                <w:rStyle w:val="tl2"/>
                <w:rFonts w:asciiTheme="minorHAnsi" w:eastAsia="Verdana" w:hAnsiTheme="minorHAnsi" w:cstheme="minorHAnsi"/>
                <w:spacing w:val="-11"/>
                <w:szCs w:val="20"/>
              </w:rPr>
            </w:pPr>
          </w:p>
        </w:tc>
      </w:tr>
      <w:tr w:rsidR="00495C51" w:rsidRPr="00C57852" w14:paraId="7C2DC577" w14:textId="77777777" w:rsidTr="005122B1">
        <w:trPr>
          <w:jc w:val="center"/>
        </w:trPr>
        <w:tc>
          <w:tcPr>
            <w:tcW w:w="1131" w:type="dxa"/>
            <w:vAlign w:val="center"/>
          </w:tcPr>
          <w:p w14:paraId="03640FA7" w14:textId="15C364C7" w:rsidR="00495C51" w:rsidRPr="00C57852" w:rsidRDefault="00495C51" w:rsidP="00495C51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  <w:t>15</w:t>
            </w:r>
          </w:p>
        </w:tc>
        <w:tc>
          <w:tcPr>
            <w:tcW w:w="2077" w:type="dxa"/>
            <w:vAlign w:val="center"/>
          </w:tcPr>
          <w:p w14:paraId="30B927FA" w14:textId="03FDE78F" w:rsidR="00495C51" w:rsidRPr="0072495D" w:rsidRDefault="00495C51" w:rsidP="00495C51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  <w:r w:rsidRPr="0072495D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Poznámky</w:t>
            </w:r>
          </w:p>
        </w:tc>
        <w:tc>
          <w:tcPr>
            <w:tcW w:w="6429" w:type="dxa"/>
            <w:gridSpan w:val="3"/>
            <w:vAlign w:val="center"/>
          </w:tcPr>
          <w:p w14:paraId="4A3F5F09" w14:textId="77777777" w:rsidR="00495C51" w:rsidRPr="00FA5633" w:rsidRDefault="00495C51" w:rsidP="00495C51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</w:tr>
      <w:tr w:rsidR="00495C51" w:rsidRPr="00C57852" w14:paraId="4E720085" w14:textId="77777777" w:rsidTr="00984B86">
        <w:trPr>
          <w:jc w:val="center"/>
        </w:trPr>
        <w:tc>
          <w:tcPr>
            <w:tcW w:w="9637" w:type="dxa"/>
            <w:gridSpan w:val="5"/>
            <w:shd w:val="clear" w:color="auto" w:fill="DEEAF6" w:themeFill="accent1" w:themeFillTint="33"/>
            <w:vAlign w:val="center"/>
          </w:tcPr>
          <w:p w14:paraId="02FD6756" w14:textId="771E494D" w:rsidR="00495C51" w:rsidRPr="00984B86" w:rsidRDefault="00495C51" w:rsidP="00495C51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 w:rsidRPr="00984B86">
              <w:rPr>
                <w:rFonts w:asciiTheme="minorHAnsi" w:eastAsia="Verdana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Definičná matica merateľného ukazovateľa projektu</w:t>
            </w:r>
            <w:r>
              <w:rPr>
                <w:rFonts w:asciiTheme="minorHAnsi" w:eastAsia="Verdana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 xml:space="preserve"> </w:t>
            </w:r>
            <w:r w:rsidRPr="00191716">
              <w:rPr>
                <w:rFonts w:asciiTheme="minorHAnsi" w:eastAsia="Verdana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bez agregácie</w:t>
            </w:r>
          </w:p>
        </w:tc>
      </w:tr>
      <w:tr w:rsidR="00495C51" w:rsidRPr="00295418" w14:paraId="075AAC19" w14:textId="77777777" w:rsidTr="005122B1">
        <w:trPr>
          <w:jc w:val="center"/>
        </w:trPr>
        <w:tc>
          <w:tcPr>
            <w:tcW w:w="1131" w:type="dxa"/>
            <w:shd w:val="clear" w:color="auto" w:fill="DEEAF6" w:themeFill="accent1" w:themeFillTint="33"/>
            <w:vAlign w:val="center"/>
          </w:tcPr>
          <w:p w14:paraId="068AC397" w14:textId="77777777" w:rsidR="00495C51" w:rsidRPr="00984B86" w:rsidRDefault="00495C51" w:rsidP="00495C51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r w:rsidRPr="00984B86"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  <w:t>Poradové číslo</w:t>
            </w:r>
          </w:p>
        </w:tc>
        <w:tc>
          <w:tcPr>
            <w:tcW w:w="4259" w:type="dxa"/>
            <w:gridSpan w:val="2"/>
            <w:shd w:val="clear" w:color="auto" w:fill="DEEAF6" w:themeFill="accent1" w:themeFillTint="33"/>
            <w:vAlign w:val="center"/>
          </w:tcPr>
          <w:p w14:paraId="147E3719" w14:textId="77777777" w:rsidR="00495C51" w:rsidRPr="00984B86" w:rsidRDefault="00495C51" w:rsidP="00495C51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r w:rsidRPr="00984B86">
              <w:rPr>
                <w:rFonts w:asciiTheme="minorHAnsi" w:eastAsia="Verdana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Popis znaku, charakteristiky, pravidla</w:t>
            </w:r>
          </w:p>
        </w:tc>
        <w:tc>
          <w:tcPr>
            <w:tcW w:w="1018" w:type="dxa"/>
            <w:shd w:val="clear" w:color="auto" w:fill="DEEAF6" w:themeFill="accent1" w:themeFillTint="33"/>
            <w:vAlign w:val="center"/>
          </w:tcPr>
          <w:p w14:paraId="4914793F" w14:textId="77777777" w:rsidR="00495C51" w:rsidRPr="00984B86" w:rsidRDefault="00495C51" w:rsidP="00495C51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r w:rsidRPr="00984B86">
              <w:rPr>
                <w:rFonts w:asciiTheme="minorHAnsi" w:eastAsia="Verdana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Povinnosť plnenia</w:t>
            </w:r>
          </w:p>
        </w:tc>
        <w:tc>
          <w:tcPr>
            <w:tcW w:w="3229" w:type="dxa"/>
            <w:shd w:val="clear" w:color="auto" w:fill="DEEAF6" w:themeFill="accent1" w:themeFillTint="33"/>
            <w:vAlign w:val="center"/>
          </w:tcPr>
          <w:p w14:paraId="317C4473" w14:textId="6DB74AFB" w:rsidR="00495C51" w:rsidRPr="00984B86" w:rsidRDefault="00495C51" w:rsidP="00495C51">
            <w:pPr>
              <w:pStyle w:val="Zkladntext"/>
              <w:jc w:val="center"/>
              <w:rPr>
                <w:rFonts w:asciiTheme="minorHAnsi" w:hAnsiTheme="minorHAnsi" w:cstheme="minorHAnsi"/>
                <w:b/>
                <w:spacing w:val="-11"/>
                <w:sz w:val="20"/>
                <w:szCs w:val="20"/>
              </w:rPr>
            </w:pPr>
            <w:r w:rsidRPr="00984B86"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Príklady zdroj</w:t>
            </w:r>
            <w:r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ov</w:t>
            </w:r>
            <w:r w:rsidRPr="00984B86"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 xml:space="preserve"> overenia, na základe ktor</w:t>
            </w:r>
            <w:r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 xml:space="preserve">ých </w:t>
            </w:r>
            <w:r w:rsidRPr="00984B86">
              <w:rPr>
                <w:rFonts w:asciiTheme="minorHAnsi" w:hAnsiTheme="minorHAnsi" w:cstheme="minorHAnsi"/>
                <w:b/>
                <w:spacing w:val="-11"/>
                <w:sz w:val="20"/>
                <w:szCs w:val="20"/>
                <w:lang w:eastAsia="ar-SA" w:bidi="ar-SA"/>
              </w:rPr>
              <w:t>prijímateľ dokladuje plnenie znaku, charakteristiky, pravidla</w:t>
            </w:r>
          </w:p>
        </w:tc>
      </w:tr>
      <w:tr w:rsidR="00495C51" w:rsidRPr="00C57852" w14:paraId="127F6AE3" w14:textId="77777777" w:rsidTr="005122B1">
        <w:trPr>
          <w:trHeight w:val="645"/>
          <w:jc w:val="center"/>
        </w:trPr>
        <w:tc>
          <w:tcPr>
            <w:tcW w:w="1131" w:type="dxa"/>
            <w:shd w:val="clear" w:color="auto" w:fill="FFFFFF"/>
            <w:vAlign w:val="center"/>
          </w:tcPr>
          <w:p w14:paraId="3C88F706" w14:textId="5D69F9CF" w:rsidR="00495C51" w:rsidRPr="00C57852" w:rsidRDefault="00495C51" w:rsidP="00495C51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>1.1</w:t>
            </w:r>
          </w:p>
        </w:tc>
        <w:tc>
          <w:tcPr>
            <w:tcW w:w="4259" w:type="dxa"/>
            <w:gridSpan w:val="2"/>
            <w:shd w:val="clear" w:color="auto" w:fill="FFFFFF"/>
            <w:vAlign w:val="center"/>
          </w:tcPr>
          <w:p w14:paraId="6D798701" w14:textId="77777777" w:rsidR="00495C51" w:rsidRPr="00C57852" w:rsidRDefault="00495C51" w:rsidP="00495C51">
            <w:pPr>
              <w:pStyle w:val="Zkladntext"/>
              <w:rPr>
                <w:rFonts w:asciiTheme="minorHAnsi" w:eastAsia="Verdana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1018" w:type="dxa"/>
            <w:shd w:val="clear" w:color="auto" w:fill="FFFFFF"/>
            <w:vAlign w:val="center"/>
          </w:tcPr>
          <w:p w14:paraId="6A3D2BCB" w14:textId="77777777" w:rsidR="00495C51" w:rsidRPr="00C57852" w:rsidRDefault="00495C51" w:rsidP="00495C51">
            <w:pPr>
              <w:pStyle w:val="Zkladntext"/>
              <w:jc w:val="center"/>
              <w:rPr>
                <w:rFonts w:asciiTheme="minorHAnsi" w:eastAsia="Verdana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3229" w:type="dxa"/>
            <w:shd w:val="clear" w:color="auto" w:fill="FFFFFF"/>
            <w:vAlign w:val="center"/>
          </w:tcPr>
          <w:p w14:paraId="47C60375" w14:textId="77777777" w:rsidR="00495C51" w:rsidRPr="00C57852" w:rsidRDefault="00495C51" w:rsidP="00495C51">
            <w:pPr>
              <w:pStyle w:val="Zkladntext"/>
              <w:rPr>
                <w:rFonts w:asciiTheme="minorHAnsi" w:eastAsia="Verdana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</w:tr>
      <w:tr w:rsidR="00495C51" w:rsidRPr="00C57852" w14:paraId="57337AAE" w14:textId="77777777" w:rsidTr="005122B1">
        <w:trPr>
          <w:trHeight w:val="682"/>
          <w:jc w:val="center"/>
        </w:trPr>
        <w:tc>
          <w:tcPr>
            <w:tcW w:w="1131" w:type="dxa"/>
            <w:shd w:val="clear" w:color="auto" w:fill="FFFFFF"/>
            <w:vAlign w:val="center"/>
          </w:tcPr>
          <w:p w14:paraId="3D342F9A" w14:textId="77777777" w:rsidR="00495C51" w:rsidRPr="00C57852" w:rsidRDefault="00495C51" w:rsidP="00495C51">
            <w:pPr>
              <w:pStyle w:val="Zkladntext"/>
              <w:jc w:val="center"/>
              <w:rPr>
                <w:rFonts w:asciiTheme="minorHAnsi" w:hAnsiTheme="minorHAnsi" w:cstheme="minorHAnsi"/>
                <w:spacing w:val="-11"/>
                <w:sz w:val="20"/>
                <w:szCs w:val="20"/>
              </w:rPr>
            </w:pPr>
          </w:p>
        </w:tc>
        <w:tc>
          <w:tcPr>
            <w:tcW w:w="4259" w:type="dxa"/>
            <w:gridSpan w:val="2"/>
            <w:shd w:val="clear" w:color="auto" w:fill="FFFFFF"/>
            <w:vAlign w:val="center"/>
          </w:tcPr>
          <w:p w14:paraId="1612F613" w14:textId="77777777" w:rsidR="00495C51" w:rsidRPr="00C57852" w:rsidRDefault="00495C51" w:rsidP="00495C51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/>
              </w:rPr>
            </w:pPr>
          </w:p>
        </w:tc>
        <w:tc>
          <w:tcPr>
            <w:tcW w:w="1018" w:type="dxa"/>
            <w:shd w:val="clear" w:color="auto" w:fill="FFFFFF"/>
            <w:vAlign w:val="center"/>
          </w:tcPr>
          <w:p w14:paraId="7076E32F" w14:textId="77777777" w:rsidR="00495C51" w:rsidRPr="00C57852" w:rsidRDefault="00495C51" w:rsidP="00495C51">
            <w:pPr>
              <w:pStyle w:val="Zkladntext"/>
              <w:jc w:val="center"/>
              <w:rPr>
                <w:rFonts w:asciiTheme="minorHAnsi" w:eastAsia="Verdana" w:hAnsiTheme="minorHAnsi" w:cstheme="minorHAnsi"/>
                <w:spacing w:val="-11"/>
                <w:sz w:val="20"/>
                <w:szCs w:val="20"/>
                <w:lang w:eastAsia="ar-SA" w:bidi="ar-SA"/>
              </w:rPr>
            </w:pPr>
          </w:p>
        </w:tc>
        <w:tc>
          <w:tcPr>
            <w:tcW w:w="3229" w:type="dxa"/>
            <w:shd w:val="clear" w:color="auto" w:fill="FFFFFF"/>
            <w:vAlign w:val="center"/>
          </w:tcPr>
          <w:p w14:paraId="1BF66954" w14:textId="77777777" w:rsidR="00495C51" w:rsidRPr="00C57852" w:rsidRDefault="00495C51" w:rsidP="00495C51">
            <w:pPr>
              <w:pStyle w:val="Zkladntext"/>
              <w:rPr>
                <w:rFonts w:asciiTheme="minorHAnsi" w:hAnsiTheme="minorHAnsi" w:cstheme="minorHAnsi"/>
                <w:spacing w:val="-11"/>
                <w:sz w:val="20"/>
                <w:szCs w:val="20"/>
                <w:lang w:eastAsia="ar-SA"/>
              </w:rPr>
            </w:pPr>
          </w:p>
        </w:tc>
      </w:tr>
    </w:tbl>
    <w:p w14:paraId="6CF643C5" w14:textId="77777777" w:rsidR="006348BB" w:rsidRDefault="006348BB" w:rsidP="002C0DE0"/>
    <w:sectPr w:rsidR="006348B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2A86D" w14:textId="77777777" w:rsidR="00556FE4" w:rsidRDefault="00556FE4" w:rsidP="002C0DE0">
      <w:r>
        <w:separator/>
      </w:r>
    </w:p>
  </w:endnote>
  <w:endnote w:type="continuationSeparator" w:id="0">
    <w:p w14:paraId="30624578" w14:textId="77777777" w:rsidR="00556FE4" w:rsidRDefault="00556FE4" w:rsidP="002C0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25072" w14:textId="77777777" w:rsidR="00556FE4" w:rsidRDefault="00556FE4" w:rsidP="002C0DE0">
      <w:r>
        <w:separator/>
      </w:r>
    </w:p>
  </w:footnote>
  <w:footnote w:type="continuationSeparator" w:id="0">
    <w:p w14:paraId="0AE0186C" w14:textId="77777777" w:rsidR="00556FE4" w:rsidRDefault="00556FE4" w:rsidP="002C0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B9162" w14:textId="77777777" w:rsidR="00A01D4B" w:rsidRDefault="00A01D4B" w:rsidP="00A01D4B">
    <w:pPr>
      <w:pStyle w:val="Hlavika"/>
      <w:rPr>
        <w:rFonts w:asciiTheme="minorHAnsi" w:hAnsiTheme="minorHAnsi" w:cstheme="minorHAnsi"/>
        <w:color w:val="44546A" w:themeColor="text2"/>
        <w:sz w:val="16"/>
        <w:szCs w:val="16"/>
      </w:rPr>
    </w:pPr>
  </w:p>
  <w:p w14:paraId="5F353C6F" w14:textId="77777777" w:rsidR="00A01D4B" w:rsidRPr="0017146B" w:rsidRDefault="00A01D4B" w:rsidP="00A01D4B">
    <w:pPr>
      <w:pStyle w:val="Hlavika"/>
      <w:contextualSpacing/>
      <w:rPr>
        <w:b/>
      </w:rPr>
    </w:pPr>
    <w:r w:rsidRPr="00882DBA">
      <w:rPr>
        <w:rFonts w:ascii="Calibri" w:hAnsi="Calibri" w:cs="Calibri"/>
        <w:b/>
        <w:color w:val="002060"/>
      </w:rPr>
      <w:t>Program  Slovensko</w:t>
    </w:r>
    <w:r>
      <w:rPr>
        <w:b/>
        <w:color w:val="002060"/>
      </w:rPr>
      <w:tab/>
    </w:r>
    <w:r>
      <w:rPr>
        <w:b/>
        <w:color w:val="002060"/>
      </w:rPr>
      <w:tab/>
    </w:r>
    <w:r>
      <w:rPr>
        <w:b/>
        <w:noProof/>
        <w:color w:val="002060"/>
        <w:lang w:eastAsia="sk-SK" w:bidi="ar-SA"/>
      </w:rPr>
      <w:drawing>
        <wp:inline distT="0" distB="0" distL="0" distR="0" wp14:anchorId="74908578" wp14:editId="675D4035">
          <wp:extent cx="1744980" cy="403860"/>
          <wp:effectExtent l="0" t="0" r="0" b="0"/>
          <wp:docPr id="2" name="Obrázok 2" descr="SK_Co-fundedbytheEU_RGB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K_Co-fundedbytheEU_RGB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85C5461" w14:textId="46891674" w:rsidR="00A01D4B" w:rsidRPr="006915F8" w:rsidRDefault="00A01D4B" w:rsidP="00A01D4B">
    <w:pPr>
      <w:pStyle w:val="Hlavika"/>
      <w:contextualSpacing/>
      <w:rPr>
        <w:rFonts w:ascii="Calibri" w:hAnsi="Calibri" w:cs="Calibri"/>
        <w:sz w:val="20"/>
        <w:szCs w:val="20"/>
      </w:rPr>
    </w:pPr>
    <w:r w:rsidRPr="006915F8">
      <w:rPr>
        <w:rFonts w:ascii="Calibri" w:hAnsi="Calibri" w:cs="Calibri"/>
        <w:sz w:val="20"/>
        <w:szCs w:val="20"/>
      </w:rPr>
      <w:t xml:space="preserve">Číselník merateľných ukazovateľov a iných údajov, verzia </w:t>
    </w:r>
    <w:r w:rsidR="003B6D26">
      <w:rPr>
        <w:rFonts w:ascii="Calibri" w:hAnsi="Calibri" w:cs="Calibri"/>
        <w:sz w:val="20"/>
        <w:szCs w:val="20"/>
      </w:rPr>
      <w:t>2</w:t>
    </w:r>
    <w:r w:rsidRPr="006915F8">
      <w:rPr>
        <w:rFonts w:ascii="Calibri" w:hAnsi="Calibri" w:cs="Calibri"/>
        <w:sz w:val="20"/>
        <w:szCs w:val="20"/>
      </w:rPr>
      <w:t>.</w:t>
    </w:r>
    <w:r w:rsidR="00F65C8A">
      <w:rPr>
        <w:rFonts w:ascii="Calibri" w:hAnsi="Calibri" w:cs="Calibri"/>
        <w:sz w:val="20"/>
        <w:szCs w:val="20"/>
      </w:rPr>
      <w:t>1</w:t>
    </w:r>
  </w:p>
  <w:p w14:paraId="291DCFDA" w14:textId="77777777" w:rsidR="00A01D4B" w:rsidRPr="006915F8" w:rsidRDefault="00A01D4B" w:rsidP="00A01D4B">
    <w:pPr>
      <w:pStyle w:val="Hlavika"/>
      <w:rPr>
        <w:rFonts w:ascii="Calibri" w:hAnsi="Calibri" w:cs="Calibri"/>
        <w:color w:val="808080" w:themeColor="background1" w:themeShade="80"/>
        <w:sz w:val="20"/>
        <w:szCs w:val="20"/>
      </w:rPr>
    </w:pPr>
    <w:r w:rsidRPr="006915F8">
      <w:rPr>
        <w:rStyle w:val="Zvraznenodkaz"/>
        <w:rFonts w:ascii="Calibri" w:hAnsi="Calibri" w:cs="Calibri"/>
        <w:noProof/>
        <w:color w:val="1F4E79" w:themeColor="accent1" w:themeShade="80"/>
        <w:sz w:val="40"/>
        <w:szCs w:val="40"/>
        <w:lang w:eastAsia="sk-SK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F751594" wp14:editId="49C9D749">
              <wp:simplePos x="0" y="0"/>
              <wp:positionH relativeFrom="column">
                <wp:posOffset>-57785</wp:posOffset>
              </wp:positionH>
              <wp:positionV relativeFrom="paragraph">
                <wp:posOffset>33020</wp:posOffset>
              </wp:positionV>
              <wp:extent cx="2971800" cy="9525"/>
              <wp:effectExtent l="19050" t="19050" r="19050" b="28575"/>
              <wp:wrapNone/>
              <wp:docPr id="3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97180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19EE1C5" id="Přímá spojnice 5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5pt,2.6pt" to="229.4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" strokecolor="#d8d8d8 [2732]" strokeweight="2.25pt">
              <v:stroke joinstyle="miter"/>
            </v:line>
          </w:pict>
        </mc:Fallback>
      </mc:AlternateContent>
    </w:r>
    <w:r w:rsidRPr="006915F8">
      <w:rPr>
        <w:rFonts w:ascii="Calibri" w:hAnsi="Calibri" w:cs="Calibri"/>
        <w:color w:val="808080" w:themeColor="background1" w:themeShade="80"/>
        <w:sz w:val="20"/>
        <w:szCs w:val="20"/>
      </w:rPr>
      <w:tab/>
      <w:t xml:space="preserve">           </w:t>
    </w:r>
  </w:p>
  <w:p w14:paraId="77BBA407" w14:textId="393CEF45" w:rsidR="00A01D4B" w:rsidRPr="006915F8" w:rsidRDefault="00A01D4B" w:rsidP="00A01D4B">
    <w:pPr>
      <w:pStyle w:val="Hlavika"/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</w:pPr>
    <w:r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>Príloha 4</w:t>
    </w:r>
    <w:r w:rsidRPr="006915F8"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 xml:space="preserve">: Vzor </w:t>
    </w:r>
    <w:r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>karty merateľného ukazovateľa projektu bez agregácie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1B5F4D"/>
    <w:multiLevelType w:val="hybridMultilevel"/>
    <w:tmpl w:val="C44E7EAC"/>
    <w:lvl w:ilvl="0" w:tplc="59F68E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93983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DE0"/>
    <w:rsid w:val="0005085C"/>
    <w:rsid w:val="00065CA8"/>
    <w:rsid w:val="00065EE2"/>
    <w:rsid w:val="000E0739"/>
    <w:rsid w:val="001102BB"/>
    <w:rsid w:val="00110364"/>
    <w:rsid w:val="00126905"/>
    <w:rsid w:val="00191716"/>
    <w:rsid w:val="001B3ECF"/>
    <w:rsid w:val="001F22A7"/>
    <w:rsid w:val="00201D39"/>
    <w:rsid w:val="00242600"/>
    <w:rsid w:val="002429BA"/>
    <w:rsid w:val="002A3033"/>
    <w:rsid w:val="002C0DE0"/>
    <w:rsid w:val="002E6668"/>
    <w:rsid w:val="002F66FE"/>
    <w:rsid w:val="00384D61"/>
    <w:rsid w:val="003B6D26"/>
    <w:rsid w:val="003C427C"/>
    <w:rsid w:val="003C52E2"/>
    <w:rsid w:val="00416605"/>
    <w:rsid w:val="004837F0"/>
    <w:rsid w:val="00495C51"/>
    <w:rsid w:val="004A01C6"/>
    <w:rsid w:val="004B047C"/>
    <w:rsid w:val="004B5659"/>
    <w:rsid w:val="004C1093"/>
    <w:rsid w:val="004D1BDE"/>
    <w:rsid w:val="00511C24"/>
    <w:rsid w:val="005122B1"/>
    <w:rsid w:val="00545EC2"/>
    <w:rsid w:val="00553188"/>
    <w:rsid w:val="00556FE4"/>
    <w:rsid w:val="005570B2"/>
    <w:rsid w:val="00573B4C"/>
    <w:rsid w:val="005A52C5"/>
    <w:rsid w:val="005C08B6"/>
    <w:rsid w:val="005D10EC"/>
    <w:rsid w:val="005D6D78"/>
    <w:rsid w:val="005F627D"/>
    <w:rsid w:val="00610ABA"/>
    <w:rsid w:val="006143E1"/>
    <w:rsid w:val="006348BB"/>
    <w:rsid w:val="0065066E"/>
    <w:rsid w:val="006816BE"/>
    <w:rsid w:val="006C6A33"/>
    <w:rsid w:val="0072495D"/>
    <w:rsid w:val="00726081"/>
    <w:rsid w:val="00740AC8"/>
    <w:rsid w:val="007F1880"/>
    <w:rsid w:val="0082534A"/>
    <w:rsid w:val="008B5E43"/>
    <w:rsid w:val="008B6F25"/>
    <w:rsid w:val="008C70CE"/>
    <w:rsid w:val="008D006D"/>
    <w:rsid w:val="008E1DB2"/>
    <w:rsid w:val="00921F9D"/>
    <w:rsid w:val="00984B86"/>
    <w:rsid w:val="00A01D4B"/>
    <w:rsid w:val="00A23494"/>
    <w:rsid w:val="00A6042B"/>
    <w:rsid w:val="00A648C2"/>
    <w:rsid w:val="00A93779"/>
    <w:rsid w:val="00B25A6B"/>
    <w:rsid w:val="00B4267D"/>
    <w:rsid w:val="00B47BA0"/>
    <w:rsid w:val="00B63ADB"/>
    <w:rsid w:val="00BB22EF"/>
    <w:rsid w:val="00C073EA"/>
    <w:rsid w:val="00C50FE7"/>
    <w:rsid w:val="00C72367"/>
    <w:rsid w:val="00CF5372"/>
    <w:rsid w:val="00DC55FB"/>
    <w:rsid w:val="00E46BE4"/>
    <w:rsid w:val="00E5038E"/>
    <w:rsid w:val="00E63D04"/>
    <w:rsid w:val="00E85E52"/>
    <w:rsid w:val="00F65C8A"/>
    <w:rsid w:val="00F97C62"/>
    <w:rsid w:val="00FB403B"/>
    <w:rsid w:val="00FB6365"/>
    <w:rsid w:val="00FE2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3D05CA8"/>
  <w15:chartTrackingRefBased/>
  <w15:docId w15:val="{E1AB6C17-0124-4EC7-BE96-0F20C3250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C0D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en-US"/>
    </w:rPr>
  </w:style>
  <w:style w:type="paragraph" w:styleId="Nadpis3">
    <w:name w:val="heading 3"/>
    <w:basedOn w:val="Normlny"/>
    <w:next w:val="Zkladntext"/>
    <w:link w:val="Nadpis3Char"/>
    <w:uiPriority w:val="1"/>
    <w:qFormat/>
    <w:rsid w:val="002C0DE0"/>
    <w:pPr>
      <w:widowControl/>
      <w:tabs>
        <w:tab w:val="num" w:pos="0"/>
      </w:tabs>
      <w:suppressAutoHyphens/>
      <w:autoSpaceDE/>
      <w:autoSpaceDN/>
      <w:ind w:left="858" w:hanging="721"/>
      <w:jc w:val="both"/>
      <w:outlineLvl w:val="2"/>
    </w:pPr>
    <w:rPr>
      <w:rFonts w:ascii="Verdana" w:eastAsia="Verdana" w:hAnsi="Verdana" w:cs="Verdana"/>
      <w:b/>
      <w:bCs/>
      <w:sz w:val="20"/>
      <w:szCs w:val="20"/>
      <w:lang w:eastAsia="ar-SA" w:bidi="ar-SA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basedOn w:val="Predvolenpsmoodseku"/>
    <w:link w:val="Nadpis3"/>
    <w:uiPriority w:val="1"/>
    <w:rsid w:val="002C0DE0"/>
    <w:rPr>
      <w:rFonts w:ascii="Verdana" w:eastAsia="Verdana" w:hAnsi="Verdana" w:cs="Verdana"/>
      <w:b/>
      <w:bCs/>
      <w:sz w:val="20"/>
      <w:szCs w:val="20"/>
      <w:lang w:eastAsia="ar-SA"/>
    </w:rPr>
  </w:style>
  <w:style w:type="paragraph" w:styleId="Zkladntext">
    <w:name w:val="Body Text"/>
    <w:basedOn w:val="Normlny"/>
    <w:link w:val="ZkladntextChar"/>
    <w:uiPriority w:val="1"/>
    <w:qFormat/>
    <w:rsid w:val="002C0DE0"/>
    <w:rPr>
      <w:sz w:val="24"/>
      <w:szCs w:val="24"/>
    </w:rPr>
  </w:style>
  <w:style w:type="character" w:customStyle="1" w:styleId="ZkladntextChar">
    <w:name w:val="Základný text Char"/>
    <w:basedOn w:val="Predvolenpsmoodseku"/>
    <w:link w:val="Zkladntext"/>
    <w:uiPriority w:val="1"/>
    <w:rsid w:val="002C0DE0"/>
    <w:rPr>
      <w:rFonts w:ascii="Times New Roman" w:eastAsia="Times New Roman" w:hAnsi="Times New Roman" w:cs="Times New Roman"/>
      <w:sz w:val="24"/>
      <w:szCs w:val="24"/>
      <w:lang w:bidi="en-US"/>
    </w:rPr>
  </w:style>
  <w:style w:type="character" w:styleId="Hypertextovprepojenie">
    <w:name w:val="Hyperlink"/>
    <w:basedOn w:val="Predvolenpsmoodseku"/>
    <w:uiPriority w:val="99"/>
    <w:unhideWhenUsed/>
    <w:rsid w:val="002C0DE0"/>
    <w:rPr>
      <w:color w:val="0563C1" w:themeColor="hyperlink"/>
      <w:u w:val="single"/>
    </w:rPr>
  </w:style>
  <w:style w:type="table" w:styleId="Mriekatabuky">
    <w:name w:val="Table Grid"/>
    <w:aliases w:val="Deloitte table 3"/>
    <w:basedOn w:val="Normlnatabuka"/>
    <w:uiPriority w:val="39"/>
    <w:rsid w:val="002C0D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aliases w:val="Char,Text poznámky pod čiarou 007,Stinking Styles2,Tekst przypisu- dokt,Char Char Char,Char Char Char Char Char Char Char Char Char,Char Char Char Char Char Char Char Char Char Char Char,Char Char Ch,_Poznámka pod čiarou,o,Car"/>
    <w:basedOn w:val="Normlny"/>
    <w:link w:val="TextpoznmkypodiarouChar"/>
    <w:uiPriority w:val="99"/>
    <w:unhideWhenUsed/>
    <w:qFormat/>
    <w:rsid w:val="002C0DE0"/>
    <w:rPr>
      <w:sz w:val="20"/>
      <w:szCs w:val="20"/>
    </w:rPr>
  </w:style>
  <w:style w:type="character" w:customStyle="1" w:styleId="TextpoznmkypodiarouChar">
    <w:name w:val="Text poznámky pod čiarou Char"/>
    <w:aliases w:val="Char Char,Text poznámky pod čiarou 007 Char,Stinking Styles2 Char,Tekst przypisu- dokt Char,Char Char Char Char,Char Char Char Char Char Char Char Char Char Char,Char Char Char Char Char Char Char Char Char Char Char Char"/>
    <w:basedOn w:val="Predvolenpsmoodseku"/>
    <w:link w:val="Textpoznmkypodiarou"/>
    <w:uiPriority w:val="99"/>
    <w:qFormat/>
    <w:rsid w:val="002C0DE0"/>
    <w:rPr>
      <w:rFonts w:ascii="Times New Roman" w:eastAsia="Times New Roman" w:hAnsi="Times New Roman" w:cs="Times New Roman"/>
      <w:sz w:val="20"/>
      <w:szCs w:val="20"/>
      <w:lang w:bidi="en-US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iPriority w:val="99"/>
    <w:unhideWhenUsed/>
    <w:qFormat/>
    <w:rsid w:val="002C0DE0"/>
    <w:rPr>
      <w:vertAlign w:val="superscript"/>
    </w:rPr>
  </w:style>
  <w:style w:type="paragraph" w:customStyle="1" w:styleId="Char2">
    <w:name w:val="Char2"/>
    <w:basedOn w:val="Normlny"/>
    <w:link w:val="Odkaznapoznmkupodiarou"/>
    <w:uiPriority w:val="99"/>
    <w:rsid w:val="002C0DE0"/>
    <w:pPr>
      <w:widowControl/>
      <w:autoSpaceDE/>
      <w:autoSpaceDN/>
      <w:spacing w:after="160" w:line="240" w:lineRule="exact"/>
    </w:pPr>
    <w:rPr>
      <w:rFonts w:asciiTheme="minorHAnsi" w:eastAsiaTheme="minorHAnsi" w:hAnsiTheme="minorHAnsi" w:cstheme="minorBidi"/>
      <w:vertAlign w:val="superscript"/>
      <w:lang w:bidi="ar-SA"/>
    </w:rPr>
  </w:style>
  <w:style w:type="character" w:styleId="Zstupntext">
    <w:name w:val="Placeholder Text"/>
    <w:basedOn w:val="Predvolenpsmoodseku"/>
    <w:uiPriority w:val="99"/>
    <w:semiHidden/>
    <w:rsid w:val="002C0DE0"/>
    <w:rPr>
      <w:color w:val="808080"/>
    </w:rPr>
  </w:style>
  <w:style w:type="character" w:customStyle="1" w:styleId="tl2">
    <w:name w:val="Štýl2"/>
    <w:basedOn w:val="Predvolenpsmoodseku"/>
    <w:qFormat/>
    <w:rsid w:val="002C0DE0"/>
    <w:rPr>
      <w:rFonts w:asciiTheme="majorHAnsi" w:hAnsiTheme="majorHAnsi"/>
      <w:sz w:val="20"/>
    </w:rPr>
  </w:style>
  <w:style w:type="paragraph" w:styleId="Hlavika">
    <w:name w:val="header"/>
    <w:basedOn w:val="Normlny"/>
    <w:link w:val="HlavikaChar"/>
    <w:uiPriority w:val="99"/>
    <w:unhideWhenUsed/>
    <w:rsid w:val="002C0D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C0DE0"/>
    <w:rPr>
      <w:rFonts w:ascii="Times New Roman" w:eastAsia="Times New Roman" w:hAnsi="Times New Roman" w:cs="Times New Roman"/>
      <w:lang w:bidi="en-US"/>
    </w:rPr>
  </w:style>
  <w:style w:type="paragraph" w:styleId="Pta">
    <w:name w:val="footer"/>
    <w:basedOn w:val="Normlny"/>
    <w:link w:val="PtaChar"/>
    <w:uiPriority w:val="99"/>
    <w:unhideWhenUsed/>
    <w:rsid w:val="002C0D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C0DE0"/>
    <w:rPr>
      <w:rFonts w:ascii="Times New Roman" w:eastAsia="Times New Roman" w:hAnsi="Times New Roman" w:cs="Times New Roman"/>
      <w:lang w:bidi="en-US"/>
    </w:rPr>
  </w:style>
  <w:style w:type="paragraph" w:styleId="Revzia">
    <w:name w:val="Revision"/>
    <w:hidden/>
    <w:uiPriority w:val="99"/>
    <w:semiHidden/>
    <w:rsid w:val="00C72367"/>
    <w:pPr>
      <w:spacing w:after="0" w:line="240" w:lineRule="auto"/>
    </w:pPr>
    <w:rPr>
      <w:rFonts w:ascii="Times New Roman" w:eastAsia="Times New Roman" w:hAnsi="Times New Roman" w:cs="Times New Roman"/>
      <w:lang w:bidi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F627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F627D"/>
    <w:rPr>
      <w:rFonts w:ascii="Segoe UI" w:eastAsia="Times New Roman" w:hAnsi="Segoe UI" w:cs="Segoe UI"/>
      <w:sz w:val="18"/>
      <w:szCs w:val="18"/>
      <w:lang w:bidi="en-US"/>
    </w:rPr>
  </w:style>
  <w:style w:type="character" w:styleId="Odkaznakomentr">
    <w:name w:val="annotation reference"/>
    <w:basedOn w:val="Predvolenpsmoodseku"/>
    <w:uiPriority w:val="99"/>
    <w:semiHidden/>
    <w:unhideWhenUsed/>
    <w:rsid w:val="008B6F2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B6F25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8B6F25"/>
    <w:rPr>
      <w:rFonts w:ascii="Times New Roman" w:eastAsia="Times New Roman" w:hAnsi="Times New Roman" w:cs="Times New Roman"/>
      <w:sz w:val="20"/>
      <w:szCs w:val="20"/>
      <w:lang w:bidi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B6F2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B6F25"/>
    <w:rPr>
      <w:rFonts w:ascii="Times New Roman" w:eastAsia="Times New Roman" w:hAnsi="Times New Roman" w:cs="Times New Roman"/>
      <w:b/>
      <w:bCs/>
      <w:sz w:val="20"/>
      <w:szCs w:val="20"/>
      <w:lang w:bidi="en-US"/>
    </w:rPr>
  </w:style>
  <w:style w:type="character" w:styleId="Zvraznenodkaz">
    <w:name w:val="Intense Reference"/>
    <w:basedOn w:val="Predvolenpsmoodseku"/>
    <w:uiPriority w:val="32"/>
    <w:qFormat/>
    <w:rsid w:val="00A01D4B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8F654F56A1D42E4A89572F2B174726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A701A8A-9889-4CB1-BE3F-59184A5754D5}"/>
      </w:docPartPr>
      <w:docPartBody>
        <w:p w:rsidR="00F1741A" w:rsidRDefault="00634882" w:rsidP="00634882">
          <w:pPr>
            <w:pStyle w:val="A8F654F56A1D42E4A89572F2B17472641"/>
          </w:pPr>
          <w:r w:rsidRPr="002C0DE0">
            <w:rPr>
              <w:rStyle w:val="tl2"/>
              <w:rFonts w:asciiTheme="minorHAnsi" w:hAnsiTheme="minorHAnsi"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FA7DDA53D7F043378B95104616C3D5D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503588C-3004-467A-85DF-E731FDB71FE9}"/>
      </w:docPartPr>
      <w:docPartBody>
        <w:p w:rsidR="00F1741A" w:rsidRDefault="00634882" w:rsidP="00634882">
          <w:pPr>
            <w:pStyle w:val="FA7DDA53D7F043378B95104616C3D5D21"/>
          </w:pPr>
          <w:r w:rsidRPr="001B3ECF">
            <w:rPr>
              <w:rStyle w:val="tl2"/>
              <w:rFonts w:asciiTheme="minorHAnsi" w:hAnsiTheme="minorHAnsi"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54E913A5B6B5479C99BC6A221725C2C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7390472-1775-441A-A113-48CA7F69F88A}"/>
      </w:docPartPr>
      <w:docPartBody>
        <w:p w:rsidR="00914E13" w:rsidRDefault="00997A7C" w:rsidP="00997A7C">
          <w:pPr>
            <w:pStyle w:val="54E913A5B6B5479C99BC6A221725C2C9"/>
          </w:pPr>
          <w:r w:rsidRPr="00F765C5">
            <w:rPr>
              <w:rStyle w:val="Zstupntext"/>
            </w:rPr>
            <w:t>Vyberte položku.</w:t>
          </w:r>
        </w:p>
      </w:docPartBody>
    </w:docPart>
    <w:docPart>
      <w:docPartPr>
        <w:name w:val="8FECA562E5224FB5B01F951F52E89B0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69E25AA-291C-4BAE-A2C0-3631702297E8}"/>
      </w:docPartPr>
      <w:docPartBody>
        <w:p w:rsidR="00A15AF2" w:rsidRDefault="003A084F" w:rsidP="003A084F">
          <w:pPr>
            <w:pStyle w:val="8FECA562E5224FB5B01F951F52E89B0C"/>
          </w:pPr>
          <w:r w:rsidRPr="00F765C5">
            <w:rPr>
              <w:rStyle w:val="Zstupntext"/>
            </w:rPr>
            <w:t>Vyberte položku.</w:t>
          </w:r>
        </w:p>
      </w:docPartBody>
    </w:docPart>
    <w:docPart>
      <w:docPartPr>
        <w:name w:val="ED58816B942A4F2BBE986507BFD4CED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F762F28-AC1A-4FE4-BF58-800BCE54DE4E}"/>
      </w:docPartPr>
      <w:docPartBody>
        <w:p w:rsidR="00A15AF2" w:rsidRDefault="003A084F" w:rsidP="003A084F">
          <w:pPr>
            <w:pStyle w:val="ED58816B942A4F2BBE986507BFD4CEDC"/>
          </w:pPr>
          <w:r w:rsidRPr="00F765C5">
            <w:rPr>
              <w:rStyle w:val="Zstupntext"/>
            </w:rPr>
            <w:t>Vyberte položku.</w:t>
          </w:r>
        </w:p>
      </w:docPartBody>
    </w:docPart>
    <w:docPart>
      <w:docPartPr>
        <w:name w:val="97DD21BAFE9F40858B1EA00E1ADF995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DDF62AE-BC3C-4474-90EF-BDA7703F1B05}"/>
      </w:docPartPr>
      <w:docPartBody>
        <w:p w:rsidR="00FA613C" w:rsidRDefault="00FA613C" w:rsidP="00FA613C">
          <w:pPr>
            <w:pStyle w:val="97DD21BAFE9F40858B1EA00E1ADF9955"/>
          </w:pPr>
          <w:r w:rsidRPr="002C0DE0">
            <w:rPr>
              <w:rStyle w:val="tl2"/>
              <w:rFonts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AD5DC92C94B24BD2A7ABD295DF81534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83BEC47-2EA3-4221-8643-3796882E83E6}"/>
      </w:docPartPr>
      <w:docPartBody>
        <w:p w:rsidR="00FA613C" w:rsidRDefault="00FA613C" w:rsidP="00FA613C">
          <w:pPr>
            <w:pStyle w:val="AD5DC92C94B24BD2A7ABD295DF815342"/>
          </w:pPr>
          <w:r w:rsidRPr="002C0DE0">
            <w:rPr>
              <w:rStyle w:val="tl2"/>
              <w:rFonts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689658281BB241028868A671329B0A9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C47392C-827C-46CA-BD71-729954900885}"/>
      </w:docPartPr>
      <w:docPartBody>
        <w:p w:rsidR="00FA613C" w:rsidRDefault="00FA613C" w:rsidP="00FA613C">
          <w:pPr>
            <w:pStyle w:val="689658281BB241028868A671329B0A92"/>
          </w:pPr>
          <w:r w:rsidRPr="002C0DE0">
            <w:rPr>
              <w:rStyle w:val="tl2"/>
              <w:rFonts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F7E7F6D767E24C14A4CEF1CAB9E0347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92626EB-C548-47F2-BCDD-3D9F19DA7C75}"/>
      </w:docPartPr>
      <w:docPartBody>
        <w:p w:rsidR="00FA613C" w:rsidRDefault="00FA613C" w:rsidP="00FA613C">
          <w:pPr>
            <w:pStyle w:val="F7E7F6D767E24C14A4CEF1CAB9E0347A"/>
          </w:pPr>
          <w:r w:rsidRPr="004837F0">
            <w:rPr>
              <w:rStyle w:val="tl2"/>
              <w:rFonts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DC55F78A9B004D268E9D7810D47E26A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E47E1FE-DDBC-4548-8353-1C0586C70D7A}"/>
      </w:docPartPr>
      <w:docPartBody>
        <w:p w:rsidR="00FA613C" w:rsidRDefault="00FA613C" w:rsidP="00FA613C">
          <w:pPr>
            <w:pStyle w:val="DC55F78A9B004D268E9D7810D47E26AC"/>
          </w:pPr>
          <w:r w:rsidRPr="004837F0">
            <w:rPr>
              <w:rStyle w:val="tl2"/>
              <w:rFonts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771816E6ED8143FC874E91D5BD67507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6CBF23B-E6D2-4770-8FDD-8FB6FE2D956C}"/>
      </w:docPartPr>
      <w:docPartBody>
        <w:p w:rsidR="00FA613C" w:rsidRDefault="00FA613C" w:rsidP="00FA613C">
          <w:pPr>
            <w:pStyle w:val="771816E6ED8143FC874E91D5BD67507B"/>
          </w:pPr>
          <w:r w:rsidRPr="004837F0">
            <w:rPr>
              <w:rStyle w:val="tl2"/>
              <w:rFonts w:cstheme="minorHAnsi"/>
              <w:spacing w:val="-11"/>
              <w:szCs w:val="20"/>
            </w:rPr>
            <w:t>Vyberte položku.</w:t>
          </w:r>
        </w:p>
      </w:docPartBody>
    </w:docPart>
    <w:docPart>
      <w:docPartPr>
        <w:name w:val="E678650E5A9F4C0C8343A272B69D69B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E16B94C-571E-4DDC-B158-C7CCCCF33B11}"/>
      </w:docPartPr>
      <w:docPartBody>
        <w:p w:rsidR="00FA613C" w:rsidRDefault="00FA613C" w:rsidP="00FA613C">
          <w:pPr>
            <w:pStyle w:val="E678650E5A9F4C0C8343A272B69D69B4"/>
          </w:pPr>
          <w:r w:rsidRPr="007D44C4">
            <w:rPr>
              <w:rStyle w:val="Zstupntext"/>
            </w:rPr>
            <w:t>Vyberte položku.</w:t>
          </w:r>
        </w:p>
      </w:docPartBody>
    </w:docPart>
    <w:docPart>
      <w:docPartPr>
        <w:name w:val="C3FC6EC8B5124C539C77F2828FC4026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183E4F5-7431-443F-BC91-EF7AF3DDD7D7}"/>
      </w:docPartPr>
      <w:docPartBody>
        <w:p w:rsidR="00FA613C" w:rsidRDefault="00FA613C" w:rsidP="00FA613C">
          <w:pPr>
            <w:pStyle w:val="C3FC6EC8B5124C539C77F2828FC40267"/>
          </w:pPr>
          <w:r w:rsidRPr="007D44C4">
            <w:rPr>
              <w:rStyle w:val="Zstupntext"/>
            </w:rPr>
            <w:t>Vyberte položku.</w:t>
          </w:r>
        </w:p>
      </w:docPartBody>
    </w:docPart>
    <w:docPart>
      <w:docPartPr>
        <w:name w:val="3423F3EDBD2D4BE18BECD3687CB9E42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032EE9E-7116-4DE1-B57E-178A7CA29BD3}"/>
      </w:docPartPr>
      <w:docPartBody>
        <w:p w:rsidR="00FA613C" w:rsidRDefault="00FA613C" w:rsidP="00FA613C">
          <w:pPr>
            <w:pStyle w:val="3423F3EDBD2D4BE18BECD3687CB9E420"/>
          </w:pPr>
          <w:r w:rsidRPr="007D44C4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E4F"/>
    <w:rsid w:val="000F0DBD"/>
    <w:rsid w:val="001C6394"/>
    <w:rsid w:val="0024697C"/>
    <w:rsid w:val="00396E4F"/>
    <w:rsid w:val="003A084F"/>
    <w:rsid w:val="003D24A4"/>
    <w:rsid w:val="0040694E"/>
    <w:rsid w:val="00433926"/>
    <w:rsid w:val="0049040D"/>
    <w:rsid w:val="00514447"/>
    <w:rsid w:val="00543415"/>
    <w:rsid w:val="00634882"/>
    <w:rsid w:val="006E71B2"/>
    <w:rsid w:val="00825149"/>
    <w:rsid w:val="00914E13"/>
    <w:rsid w:val="00997A7C"/>
    <w:rsid w:val="009F01C4"/>
    <w:rsid w:val="00A15AF2"/>
    <w:rsid w:val="00A60770"/>
    <w:rsid w:val="00A65996"/>
    <w:rsid w:val="00B25A6B"/>
    <w:rsid w:val="00C1349F"/>
    <w:rsid w:val="00CF6BF7"/>
    <w:rsid w:val="00E82D6F"/>
    <w:rsid w:val="00F1741A"/>
    <w:rsid w:val="00F232B8"/>
    <w:rsid w:val="00F34B29"/>
    <w:rsid w:val="00FA6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FA613C"/>
    <w:rPr>
      <w:color w:val="808080"/>
    </w:rPr>
  </w:style>
  <w:style w:type="paragraph" w:customStyle="1" w:styleId="54E913A5B6B5479C99BC6A221725C2C9">
    <w:name w:val="54E913A5B6B5479C99BC6A221725C2C9"/>
    <w:rsid w:val="00997A7C"/>
  </w:style>
  <w:style w:type="paragraph" w:customStyle="1" w:styleId="8FECA562E5224FB5B01F951F52E89B0C">
    <w:name w:val="8FECA562E5224FB5B01F951F52E89B0C"/>
    <w:rsid w:val="003A084F"/>
  </w:style>
  <w:style w:type="paragraph" w:customStyle="1" w:styleId="ED58816B942A4F2BBE986507BFD4CEDC">
    <w:name w:val="ED58816B942A4F2BBE986507BFD4CEDC"/>
    <w:rsid w:val="003A084F"/>
  </w:style>
  <w:style w:type="character" w:customStyle="1" w:styleId="tl2">
    <w:name w:val="Štýl2"/>
    <w:basedOn w:val="Predvolenpsmoodseku"/>
    <w:qFormat/>
    <w:rsid w:val="00FA613C"/>
    <w:rPr>
      <w:rFonts w:asciiTheme="majorHAnsi" w:hAnsiTheme="majorHAnsi"/>
      <w:sz w:val="20"/>
    </w:rPr>
  </w:style>
  <w:style w:type="paragraph" w:customStyle="1" w:styleId="97DD21BAFE9F40858B1EA00E1ADF9955">
    <w:name w:val="97DD21BAFE9F40858B1EA00E1ADF9955"/>
    <w:rsid w:val="00FA613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D5DC92C94B24BD2A7ABD295DF815342">
    <w:name w:val="AD5DC92C94B24BD2A7ABD295DF815342"/>
    <w:rsid w:val="00FA613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89658281BB241028868A671329B0A92">
    <w:name w:val="689658281BB241028868A671329B0A92"/>
    <w:rsid w:val="00FA613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7E7F6D767E24C14A4CEF1CAB9E0347A">
    <w:name w:val="F7E7F6D767E24C14A4CEF1CAB9E0347A"/>
    <w:rsid w:val="00FA613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C55F78A9B004D268E9D7810D47E26AC">
    <w:name w:val="DC55F78A9B004D268E9D7810D47E26AC"/>
    <w:rsid w:val="00FA613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71816E6ED8143FC874E91D5BD67507B">
    <w:name w:val="771816E6ED8143FC874E91D5BD67507B"/>
    <w:rsid w:val="00FA613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8F654F56A1D42E4A89572F2B17472641">
    <w:name w:val="A8F654F56A1D42E4A89572F2B17472641"/>
    <w:rsid w:val="006348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 w:bidi="en-US"/>
    </w:rPr>
  </w:style>
  <w:style w:type="paragraph" w:customStyle="1" w:styleId="FA7DDA53D7F043378B95104616C3D5D21">
    <w:name w:val="FA7DDA53D7F043378B95104616C3D5D21"/>
    <w:rsid w:val="006348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 w:bidi="en-US"/>
    </w:rPr>
  </w:style>
  <w:style w:type="paragraph" w:customStyle="1" w:styleId="E678650E5A9F4C0C8343A272B69D69B4">
    <w:name w:val="E678650E5A9F4C0C8343A272B69D69B4"/>
    <w:rsid w:val="00FA613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3FC6EC8B5124C539C77F2828FC40267">
    <w:name w:val="C3FC6EC8B5124C539C77F2828FC40267"/>
    <w:rsid w:val="00FA613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423F3EDBD2D4BE18BECD3687CB9E420">
    <w:name w:val="3423F3EDBD2D4BE18BECD3687CB9E420"/>
    <w:rsid w:val="00FA613C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9E4FF-2194-4842-9CB6-F365940F5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oMN</cp:lastModifiedBy>
  <cp:revision>20</cp:revision>
  <cp:lastPrinted>2024-06-10T08:56:00Z</cp:lastPrinted>
  <dcterms:created xsi:type="dcterms:W3CDTF">2024-07-12T12:01:00Z</dcterms:created>
  <dcterms:modified xsi:type="dcterms:W3CDTF">2026-04-13T13:14:00Z</dcterms:modified>
</cp:coreProperties>
</file>